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1C" w:rsidRPr="0068561C" w:rsidRDefault="0068561C" w:rsidP="006856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561C">
        <w:rPr>
          <w:rFonts w:ascii="Times New Roman" w:hAnsi="Times New Roman"/>
          <w:b/>
          <w:sz w:val="28"/>
          <w:szCs w:val="28"/>
        </w:rPr>
        <w:t>АДМИНИСТРАЦИЯ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561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561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561C">
        <w:rPr>
          <w:rFonts w:ascii="Times New Roman" w:hAnsi="Times New Roman"/>
          <w:b/>
          <w:sz w:val="28"/>
          <w:szCs w:val="28"/>
        </w:rPr>
        <w:t>ПОСТАНОВЛЕНИЕ</w:t>
      </w:r>
    </w:p>
    <w:p w:rsidR="0068561C" w:rsidRPr="0068561C" w:rsidRDefault="0068561C" w:rsidP="0068561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68561C" w:rsidRPr="0068561C" w:rsidRDefault="0068561C" w:rsidP="0068561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68561C">
        <w:rPr>
          <w:rFonts w:ascii="Times New Roman" w:hAnsi="Times New Roman"/>
          <w:sz w:val="28"/>
          <w:szCs w:val="28"/>
        </w:rPr>
        <w:t>от «28» сентября 2020 г. № 528</w:t>
      </w:r>
    </w:p>
    <w:bookmarkEnd w:id="0"/>
    <w:p w:rsidR="0068561C" w:rsidRPr="0068561C" w:rsidRDefault="0068561C" w:rsidP="0068561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>г. Богучар</w:t>
      </w:r>
    </w:p>
    <w:p w:rsidR="0068561C" w:rsidRPr="0068561C" w:rsidRDefault="0068561C" w:rsidP="0068561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68561C" w:rsidRPr="0068561C" w:rsidRDefault="0068561C" w:rsidP="0068561C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1C">
        <w:rPr>
          <w:rFonts w:ascii="Times New Roman" w:hAnsi="Times New Roman" w:cs="Times New Roman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68561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8561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</w:t>
      </w:r>
      <w:proofErr w:type="gramStart"/>
      <w:r w:rsidRPr="0068561C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proofErr w:type="gramEnd"/>
      <w:r w:rsidRPr="0068561C">
        <w:rPr>
          <w:rFonts w:ascii="Times New Roman" w:hAnsi="Times New Roman" w:cs="Times New Roman"/>
          <w:sz w:val="28"/>
          <w:szCs w:val="28"/>
        </w:rPr>
        <w:t xml:space="preserve"> и назначении уполномоченного органа по расходованию указанных средств</w:t>
      </w: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Воронежской области от 20.12.2019 № 154-ОЗ «Об областном бюджете на 2020 год и на плановый период 2021 и 2022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постановлением от 27.08.2020 № 823 «О распределении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год», администрация </w:t>
      </w:r>
      <w:proofErr w:type="spellStart"/>
      <w:r w:rsidRPr="0068561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561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61C">
        <w:rPr>
          <w:rFonts w:ascii="Times New Roman" w:hAnsi="Times New Roman"/>
          <w:b/>
          <w:sz w:val="28"/>
          <w:szCs w:val="28"/>
        </w:rPr>
        <w:t>т</w:t>
      </w:r>
      <w:r w:rsidRPr="0068561C">
        <w:rPr>
          <w:rFonts w:ascii="Times New Roman" w:hAnsi="Times New Roman"/>
          <w:b/>
          <w:sz w:val="28"/>
          <w:szCs w:val="28"/>
        </w:rPr>
        <w:t>:</w:t>
      </w: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 xml:space="preserve">1. Утвердить Порядок прохождения субсидии из областного бюджета бюджету </w:t>
      </w:r>
      <w:proofErr w:type="spellStart"/>
      <w:r w:rsidRPr="0068561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561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2020 год согласно приложению.</w:t>
      </w: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 xml:space="preserve">2. Назначить муниципальное казенное учреждение «Управление по образованию и молодежной политике </w:t>
      </w:r>
      <w:proofErr w:type="spellStart"/>
      <w:r w:rsidRPr="0068561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561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уполномоченным органом по прохождению субсидии из областного бюджета бюджету </w:t>
      </w:r>
      <w:proofErr w:type="spellStart"/>
      <w:r w:rsidRPr="0068561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561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8561C">
        <w:rPr>
          <w:rFonts w:ascii="Times New Roman" w:hAnsi="Times New Roman"/>
          <w:sz w:val="28"/>
          <w:szCs w:val="28"/>
        </w:rPr>
        <w:lastRenderedPageBreak/>
        <w:t>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2020 год.</w:t>
      </w: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>3. Контроль за выполнением данного постановления оставляю за собой.</w:t>
      </w: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68561C" w:rsidRPr="0068561C" w:rsidTr="0068561C">
        <w:tc>
          <w:tcPr>
            <w:tcW w:w="3284" w:type="dxa"/>
            <w:hideMark/>
          </w:tcPr>
          <w:p w:rsidR="0068561C" w:rsidRPr="0068561C" w:rsidRDefault="00685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6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8561C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68561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68561C" w:rsidRPr="0068561C" w:rsidRDefault="00685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68561C" w:rsidRPr="0068561C" w:rsidRDefault="00685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61C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68561C" w:rsidRPr="0068561C" w:rsidRDefault="0068561C" w:rsidP="0068561C">
      <w:pPr>
        <w:ind w:firstLine="0"/>
        <w:rPr>
          <w:rFonts w:ascii="Times New Roman" w:hAnsi="Times New Roman"/>
          <w:sz w:val="28"/>
          <w:szCs w:val="28"/>
        </w:rPr>
      </w:pPr>
    </w:p>
    <w:p w:rsidR="0068561C" w:rsidRPr="0068561C" w:rsidRDefault="0068561C" w:rsidP="0068561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br w:type="page"/>
      </w:r>
      <w:r w:rsidRPr="0068561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561C" w:rsidRPr="0068561C" w:rsidRDefault="0068561C" w:rsidP="0068561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68561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8561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68561C" w:rsidRPr="0068561C" w:rsidRDefault="0068561C" w:rsidP="0068561C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68561C">
        <w:rPr>
          <w:rFonts w:ascii="Times New Roman" w:hAnsi="Times New Roman"/>
          <w:szCs w:val="28"/>
        </w:rPr>
        <w:t>от 28.09.2020 № 528</w:t>
      </w:r>
    </w:p>
    <w:p w:rsidR="0068561C" w:rsidRPr="0068561C" w:rsidRDefault="0068561C" w:rsidP="0068561C">
      <w:pPr>
        <w:ind w:firstLine="0"/>
        <w:rPr>
          <w:rFonts w:ascii="Times New Roman" w:hAnsi="Times New Roman"/>
          <w:sz w:val="28"/>
          <w:szCs w:val="28"/>
        </w:rPr>
      </w:pP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>Порядок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 xml:space="preserve">прохождения денежных средств на </w:t>
      </w:r>
      <w:r w:rsidRPr="0068561C">
        <w:rPr>
          <w:rFonts w:ascii="Times New Roman" w:hAnsi="Times New Roman"/>
          <w:sz w:val="28"/>
          <w:szCs w:val="28"/>
        </w:rPr>
        <w:t>организацию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>бесплатного горячего питания обучающихся,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>получающих начальное общее образование в государственных</w:t>
      </w:r>
    </w:p>
    <w:p w:rsidR="0068561C" w:rsidRPr="0068561C" w:rsidRDefault="0068561C" w:rsidP="0068561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 xml:space="preserve">и муниципальных образовательных организациях </w:t>
      </w:r>
      <w:r w:rsidRPr="0068561C">
        <w:rPr>
          <w:rFonts w:ascii="Times New Roman" w:hAnsi="Times New Roman"/>
          <w:bCs/>
          <w:sz w:val="28"/>
          <w:szCs w:val="28"/>
        </w:rPr>
        <w:t>на 2020 год</w:t>
      </w:r>
    </w:p>
    <w:p w:rsidR="0068561C" w:rsidRPr="0068561C" w:rsidRDefault="0068561C" w:rsidP="0068561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68561C" w:rsidRPr="0068561C" w:rsidRDefault="0068561C" w:rsidP="0068561C">
      <w:pPr>
        <w:ind w:firstLine="709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68561C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68561C">
        <w:rPr>
          <w:rFonts w:ascii="Times New Roman" w:hAnsi="Times New Roman"/>
          <w:bCs/>
          <w:sz w:val="28"/>
          <w:szCs w:val="28"/>
        </w:rPr>
        <w:t>на 2020 год</w:t>
      </w:r>
    </w:p>
    <w:p w:rsidR="0068561C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sz w:val="28"/>
          <w:szCs w:val="28"/>
        </w:rPr>
        <w:t xml:space="preserve">1. Прохождение средств субсидии осуществляется по разделу 07 «Образование», подразделу 02 «Общее образование», целевой статье </w:t>
      </w:r>
      <w:r w:rsidRPr="0068561C">
        <w:rPr>
          <w:rFonts w:ascii="Times New Roman" w:hAnsi="Times New Roman"/>
          <w:bCs/>
          <w:sz w:val="28"/>
          <w:szCs w:val="28"/>
        </w:rPr>
        <w:t xml:space="preserve">02 1 02 </w:t>
      </w:r>
      <w:r w:rsidRPr="0068561C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68561C">
        <w:rPr>
          <w:rFonts w:ascii="Times New Roman" w:hAnsi="Times New Roman"/>
          <w:bCs/>
          <w:sz w:val="28"/>
          <w:szCs w:val="28"/>
        </w:rPr>
        <w:t>3040 «Мероприятие на организацию бесплатного горячего питания обучающихся, получающих начальное общее образование в муниципальных образовательных организациях»,</w:t>
      </w:r>
      <w:r w:rsidRPr="0068561C">
        <w:rPr>
          <w:rFonts w:ascii="Times New Roman" w:hAnsi="Times New Roman"/>
          <w:sz w:val="28"/>
          <w:szCs w:val="28"/>
        </w:rPr>
        <w:t xml:space="preserve"> код цели 20-53040-00000-00002, вид расходов:</w:t>
      </w:r>
      <w:r w:rsidRPr="006856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561C">
        <w:rPr>
          <w:rFonts w:ascii="Times New Roman" w:hAnsi="Times New Roman"/>
          <w:sz w:val="28"/>
          <w:szCs w:val="28"/>
        </w:rPr>
        <w:t>244 «Прочая закупка товаров, работ и услуг для обеспечения государственных (муниципальных) нужд».</w:t>
      </w:r>
    </w:p>
    <w:p w:rsidR="0068561C" w:rsidRPr="0068561C" w:rsidRDefault="0068561C" w:rsidP="0068561C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561C">
        <w:rPr>
          <w:rFonts w:ascii="Times New Roman" w:hAnsi="Times New Roman" w:cs="Times New Roman"/>
          <w:b w:val="0"/>
          <w:sz w:val="28"/>
          <w:szCs w:val="28"/>
        </w:rPr>
        <w:t xml:space="preserve">2. Расходование средств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68561C">
        <w:rPr>
          <w:rFonts w:ascii="Times New Roman" w:hAnsi="Times New Roman" w:cs="Times New Roman"/>
          <w:b w:val="0"/>
          <w:bCs w:val="0"/>
          <w:sz w:val="28"/>
          <w:szCs w:val="28"/>
        </w:rPr>
        <w:t>на 2020 год</w:t>
      </w:r>
      <w:r w:rsidRPr="0068561C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общеобразовательными учреждениями с лицевых счетов получателя бюджетных средств, открытого в Управлении Федерального Казначейства.</w:t>
      </w:r>
    </w:p>
    <w:p w:rsidR="0068561C" w:rsidRPr="0068561C" w:rsidRDefault="0068561C" w:rsidP="0068561C">
      <w:pPr>
        <w:ind w:firstLine="709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>3. Уполномоченный орган представляет в департамент образования, науки и молодежной политики Воронежской области отчеты о (об):</w:t>
      </w:r>
    </w:p>
    <w:p w:rsidR="0068561C" w:rsidRPr="0068561C" w:rsidRDefault="0068561C" w:rsidP="0068561C">
      <w:pPr>
        <w:ind w:firstLine="709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 xml:space="preserve"> - расходах, в целях </w:t>
      </w:r>
      <w:proofErr w:type="spellStart"/>
      <w:r w:rsidRPr="0068561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68561C">
        <w:rPr>
          <w:rFonts w:ascii="Times New Roman" w:hAnsi="Times New Roman"/>
          <w:bCs/>
          <w:sz w:val="28"/>
          <w:szCs w:val="28"/>
        </w:rPr>
        <w:t xml:space="preserve"> которых предоставлена Субсидия согласно приложению № 3 к соглашению № 20605000-1-2020-009 от 02.09.2020 года, не позднее 10 числа месяца, следующего за кварталом, в котором была полечена Субсидия;</w:t>
      </w:r>
    </w:p>
    <w:p w:rsidR="0068561C" w:rsidRPr="0068561C" w:rsidRDefault="0068561C" w:rsidP="0068561C">
      <w:pPr>
        <w:ind w:firstLine="709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 xml:space="preserve"> - достижении значений результатов регионального проекта по форме согласно приложению № 4 к соглашению № 20605000-1-2020-009 от 02.09.2020 года, не позднее 10 января года, следующего за годом, в котором была получена Субсидия;</w:t>
      </w:r>
    </w:p>
    <w:p w:rsidR="0068561C" w:rsidRPr="0068561C" w:rsidRDefault="0068561C" w:rsidP="0068561C">
      <w:pPr>
        <w:ind w:firstLine="709"/>
        <w:rPr>
          <w:rFonts w:ascii="Times New Roman" w:hAnsi="Times New Roman"/>
          <w:bCs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t xml:space="preserve"> - несет ответственность за нецелевое использование средств в порядке, установленном законодательством Российской Федерации, а также за представление недостоверных сведений и нарушение сроков их представления;</w:t>
      </w:r>
    </w:p>
    <w:p w:rsidR="00385249" w:rsidRPr="0068561C" w:rsidRDefault="0068561C" w:rsidP="0068561C">
      <w:pPr>
        <w:ind w:firstLine="709"/>
        <w:rPr>
          <w:rFonts w:ascii="Times New Roman" w:hAnsi="Times New Roman"/>
          <w:sz w:val="28"/>
          <w:szCs w:val="28"/>
        </w:rPr>
      </w:pPr>
      <w:r w:rsidRPr="0068561C">
        <w:rPr>
          <w:rFonts w:ascii="Times New Roman" w:hAnsi="Times New Roman"/>
          <w:bCs/>
          <w:sz w:val="28"/>
          <w:szCs w:val="28"/>
        </w:rPr>
        <w:lastRenderedPageBreak/>
        <w:t>- обеспечивает возврат неиспользованного остатка средств в текущем финансовом году в областной бюджет в порядке, установленном законодательством Российской Федерации.</w:t>
      </w:r>
    </w:p>
    <w:p w:rsidR="0068561C" w:rsidRPr="0068561C" w:rsidRDefault="0068561C">
      <w:pPr>
        <w:rPr>
          <w:rFonts w:ascii="Times New Roman" w:hAnsi="Times New Roman"/>
          <w:sz w:val="28"/>
          <w:szCs w:val="28"/>
        </w:rPr>
      </w:pPr>
    </w:p>
    <w:sectPr w:rsidR="0068561C" w:rsidRPr="006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D"/>
    <w:rsid w:val="0009700D"/>
    <w:rsid w:val="004E77CC"/>
    <w:rsid w:val="0068561C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309E-5DAF-4792-B4AB-D85A8F6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8561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8561C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8561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8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6856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2020-10-07T08:12:00Z</dcterms:created>
  <dcterms:modified xsi:type="dcterms:W3CDTF">2020-10-07T08:13:00Z</dcterms:modified>
</cp:coreProperties>
</file>