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C90" w:rsidRPr="000C5C90" w:rsidRDefault="000C5C90" w:rsidP="000C5C90">
      <w:pPr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СОВЕТ НАРОДНЫХ ДЕПУТАТОВ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ЗАЛИМАНСКОГО СЕЛЬСКОГО ПОСЕЛЕНИЯ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БОГУЧАРСКОГО МУНИЦИПАЛЬНОГО РАЙОНА 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ВОРОНЕЖСКОЙ ОБЛАСТИ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РЕШЕНИЕ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ind w:firstLine="709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от «27» августа 2012 г. № 101</w:t>
      </w:r>
    </w:p>
    <w:p w:rsidR="000C5C90" w:rsidRPr="000C5C90" w:rsidRDefault="000C5C90" w:rsidP="000C5C90">
      <w:pPr>
        <w:spacing w:after="0" w:line="240" w:lineRule="auto"/>
        <w:ind w:firstLine="709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с. Залиман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  <w:t>Об утверждении Генерального плана Залиманского сельского поселения Богучарского муниципального района Воронежской области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  <w:t>(в редакции решений от 31.03.2016 № 37, от 26.07.2016 № 57, от 26.12.2017 № 166)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</w:t>
      </w:r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>, законом Воронежской области от 07.07.2006 г. № 31-ОЗ «О регулировании градостроительной деятельности в Воронежской области», Уставом Залиманского сельского поселения, с учетом решения публичных слушаний в Залиманском сельском поселении от 21.06.2011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, Совет народных депутатов Залиманского сельского поселения 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1. Утвердить Генеральный план Залиманского сельского поселения, Богучарского муниципального района, Воронежской области (прилагается).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2. Обнародовать данное решение на территории Залиманского сельского поселения.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3. Контроль за исполнением данного решения возложить на главу 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>Залиманского</w:t>
      </w:r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Лунева С.А.</w:t>
      </w:r>
    </w:p>
    <w:p w:rsidR="000C5C90" w:rsidRPr="000C5C90" w:rsidRDefault="000C5C90" w:rsidP="000C5C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5"/>
        <w:gridCol w:w="3207"/>
        <w:gridCol w:w="3237"/>
      </w:tblGrid>
      <w:tr w:rsidR="000C5C90" w:rsidRPr="000C5C90" w:rsidTr="000C5C90">
        <w:tc>
          <w:tcPr>
            <w:tcW w:w="3284" w:type="dxa"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Глава Залиманского сельского поселения</w:t>
            </w:r>
          </w:p>
        </w:tc>
        <w:tc>
          <w:tcPr>
            <w:tcW w:w="3285" w:type="dxa"/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С.А. Лунев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br w:type="page"/>
        <w:t>Приложение</w:t>
      </w:r>
    </w:p>
    <w:p w:rsidR="000C5C90" w:rsidRPr="000C5C90" w:rsidRDefault="000C5C90" w:rsidP="000C5C9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к решению Совета народных депутатов</w:t>
      </w:r>
    </w:p>
    <w:p w:rsidR="000C5C90" w:rsidRPr="000C5C90" w:rsidRDefault="000C5C90" w:rsidP="000C5C9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Залиманского сельского поселения</w:t>
      </w:r>
    </w:p>
    <w:p w:rsidR="000C5C90" w:rsidRPr="000C5C90" w:rsidRDefault="000C5C90" w:rsidP="000C5C9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от 27.08.2012 № 101</w:t>
      </w:r>
    </w:p>
    <w:p w:rsidR="000C5C90" w:rsidRPr="000C5C90" w:rsidRDefault="000C5C90" w:rsidP="000C5C9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(приложение в редакции решений</w:t>
      </w:r>
    </w:p>
    <w:p w:rsidR="000C5C90" w:rsidRPr="000C5C90" w:rsidRDefault="000C5C90" w:rsidP="000C5C9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от 31.03.2016 № 37, от 26.07.2016 № 57,</w:t>
      </w:r>
    </w:p>
    <w:p w:rsidR="000C5C90" w:rsidRPr="000C5C90" w:rsidRDefault="000C5C90" w:rsidP="000C5C9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от 27.12.2017 №101)</w:t>
      </w:r>
    </w:p>
    <w:p w:rsidR="000C5C90" w:rsidRPr="000C5C90" w:rsidRDefault="000C5C90" w:rsidP="000C5C90">
      <w:pPr>
        <w:snapToGri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napToGri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Генеральный план </w:t>
      </w:r>
    </w:p>
    <w:p w:rsidR="000C5C90" w:rsidRPr="000C5C90" w:rsidRDefault="000C5C90" w:rsidP="000C5C90">
      <w:pPr>
        <w:snapToGri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Залиманского сельского поселения Богучарского муниципального района Воронежской области</w:t>
      </w:r>
    </w:p>
    <w:p w:rsidR="000C5C90" w:rsidRPr="000C5C90" w:rsidRDefault="000C5C90" w:rsidP="000C5C90">
      <w:pPr>
        <w:snapToGri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napToGri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Том II «Положение о территориальном планировании»</w:t>
      </w:r>
    </w:p>
    <w:p w:rsidR="000C5C90" w:rsidRPr="000C5C90" w:rsidRDefault="000C5C90" w:rsidP="000C5C90">
      <w:pPr>
        <w:snapToGri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napToGri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1.Введение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ООО «Институт строительных проектов» (Санкт-Петербург) по заказу Администрации Залиманского сельского поселения Богучарского муниципального района Воронежской области на основании муниципального контракта от 14.01.2009 № 1, в соответствии с Заданием на подготовку проекта генерального плана Залиманского сельского поселения выполнил проект «Генеральный план Залиманского сельского поселения Богучарского муниципального района Воронежской области».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Внесение изменений в Генеральный план Залиманского сельского поселения Богучарского муниципального района Воронежской области выполнено БУВО «Нормативно-проектный центр» по заказу администрации Залиманского сельского поселения в соответствии с муниципальным контрактом № 77 от </w:t>
      </w:r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>30.07.2015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0" w:name="_Toc254266578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2. Общие положения</w:t>
      </w:r>
      <w:bookmarkEnd w:id="0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Территориальное планирование – вид градостроительной деятельности, установленный Градостроительным Кодексом Российской Федерации, наряду с последующими ее видами – градостроительным зонированием, планировкой территории, архитектурно-строительным проектированием, строительством и реконструкцией объектов капитального строительства.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Генеральный план поселения относится к документам территориального планирования муниципального образования и утверждается представительным органом местного самоуправления. Утвержденный в установленном законом порядке генеральный план поселения (и внесение изменений в него) являются обязательным для органов государственной власти и органов местного самоуправления, при принятии ими решений в области градостроительной деятельности, осуществляемой на территории поселения и реализации таких решений.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Не допускается принятие органами государственной власти, органами самоуправления решений о резервировании земель, их изъятии, в том числе путем выкупа для государственных и муниципальных нужд, о переводе земель из одной категории в другую, при отсутствии документов территориального планирования (генерального плана поселения).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публичные слушания по проектам генеральных планов, (внесению в них изменений), с участием жителей поселений, проводятся в обязательном порядке.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Утвержденный генеральный план поселения (или внесение изменений в него) в части функционального зонирования территории является основой для разработки Правил землепользования и застройки поселения и установления в них территориальных зон, их границ и градостроительных регламентов.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1" w:name="_Toc254266579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3. Цели и задачи территориального планирования</w:t>
      </w:r>
      <w:bookmarkEnd w:id="1"/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Общей целью территориального планирования является определение в его документах назначения территорий, исходя из совокупности социальных,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обеспечение учета интересов граждан и их объединений, Российской Федерации, субъектов Российской Федерации, муниципальных образований. Генеральный план поселения как документ территориального планирования разрабатывается с целью определения долгосрочной перспективы социально- экономического и градостроительного развития его территории на 15-20 лет, с выделением </w:t>
      </w:r>
      <w:r w:rsidRPr="000C5C90"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>-ой очереди строительства на 10 лет.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Принятые в генеральном плане поселения проектные решения основываются на комплексном анализе: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положения и значения поселения в системе расселения субъекта Российской Федерации и муниципального района, в системе социально-экономических и транспортных связей федерального, регионального и местного уровней;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существующего ресурсного потенциала территории (природного, материального, людского);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современного состояния территории и действующих ограничений на ее использование;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факторов риска возникновения чрезвычайных ситуаций природного и техногенного характера;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имеющихся программ социально-экономического развития поселения, муниципального района субъекта Российской Федерации;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реализации решений предшествующего генерального плана и документов территориального планирования муниципального района.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В Генеральном плане поселения определяются принципиальные направления его экономического развития, прогнозируемая численность населения, объемы жилищного, общественно-делового, транспортного, инженерного и рекреационного строительства, а также площади территорий, необходимых для размещения указанных видов строительства.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С учетом конкретных природных и градостроительных условий территорий формируются: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направления и характер территориально развития поселения (территориально- пространственная модель) с установлением зон размещения объектов капитального строительства;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проектное функциональное зонирование территории поселения с определением назначения и границ функциональных зон;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проектная транспортная структура территории;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проектная архитектурно-планировочная структура территории;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проектная инженерная инфраструктура территории с определением границ зон объектов водоснабжения, водоотведения, электро-, тепло-, газоснабжения, связи;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мероприятия по предупреждению чрезвычайных ситуаций природного и техногенного характера;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мероприятия по охране и оздоровлению окружающей среды;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C5C90">
        <w:rPr>
          <w:rFonts w:ascii="Arial" w:eastAsia="Calibri" w:hAnsi="Arial" w:cs="Arial"/>
          <w:sz w:val="24"/>
          <w:szCs w:val="24"/>
        </w:rPr>
        <w:t>- предложения по изменению городской черты.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С целью резервирования территорий для государственных и муниципальных нужд при осуществлении последующих видов градостроительной деятельности в генеральном плане поселения, определяются границы территорий общего пользования (улиц, дорог, проездов, площадей, набережных, скверов, бульваров). </w:t>
      </w:r>
    </w:p>
    <w:p w:rsidR="000C5C90" w:rsidRPr="000C5C90" w:rsidRDefault="000C5C90" w:rsidP="000C5C90">
      <w:pPr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2" w:name="_Toc254338947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 Перечень мероприятий по территориальному планированию</w:t>
      </w:r>
      <w:bookmarkEnd w:id="2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Мероприятия по территориальному планированию предусмотрены настоящим генеральным планом с учетом сложившейся социально-экономической ситуации и основных направлений развития хозяйственной деятельности – устойчивого развития существующих предприятий сельского хозяйства, ориентированных, в основном, на растениеводство, а также восстановление производственных мощностей в животноводстве и организации туристской деятельности.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С целью обеспечения комплексного развития территории и строительства жилых, общественных и производственных объектов намечается ряд мероприятий, выполняемых по периодам реализации генерального плана: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период 2009-2015гг. – </w:t>
      </w:r>
      <w:r w:rsidRPr="000C5C90"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 очередь строительства;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период 2016-2030гг. – расчетный срок.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3" w:name="_Toc254266581"/>
      <w:bookmarkStart w:id="4" w:name="_Toc254338949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4.1. Экономическая база</w:t>
      </w:r>
      <w:bookmarkEnd w:id="3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5" w:name="_Toc254266582"/>
      <w:r w:rsidRPr="000C5C90">
        <w:rPr>
          <w:rFonts w:ascii="Arial" w:eastAsia="Times New Roman" w:hAnsi="Arial" w:cs="Arial"/>
          <w:sz w:val="24"/>
          <w:szCs w:val="24"/>
          <w:lang w:eastAsia="ru-RU"/>
        </w:rPr>
        <w:t>Главной стратегической целью социально-экономического и градостроительного развития Залиманского сельского поселения является обеспечение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Приоритетными отраслями экономики поселения в прогнозируемый настоящим генеральным планом период (2009-2030 гг.) будут сельское хозяйство и производства, связанные с ним, а также жилищное строительство, малое предпринимательство, социальная и природоохранная инфраструктура.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сельского хозяйства являются восстановление и возобновление роста производства, создание благоприятных условий для устойчивого развития отрасли, обеспечивающего продовольственную безопасность, уменьшение продовольственной зависимости от других поставщиков и исключение посредников. Достижение указанных результатов будет возможно при условии: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предоставления инвестиций, компенсаций, дотаций для формирования экономических условий по преодолению убыточности сельскохозяйственных товаропроизводителей, повышения доходности фермерских и личных подсобных хозяйств на основе использования различных схем расчетов за продукцию, налогового стимулирования;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внедрение системы устойчивого ведения сельского хозяйства для наращивания объемов производства;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усиление сферы производственного обслуживания сельскохозяйственного производства (электротехническое, ветеринарное, организация племенного дела, агрохимических работ);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развитие перерабатывающей промышленности;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сохранение и организация системы подготовки кадров;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государственное содействие формированию структур, обеспечивающих справедливое распределение дохода между сельскохозяйственными товаропроизводителями, перерабатывающими предприятиями, сферой реализации и торговли.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В земельном фонде сельского поселения значительных изменений не предусматривается. Однако необходимо улучшение существующих угодий: восстановление почвенного плодородия, обеспечение прироста гумуса в почве, защита от эрозии, в результате – повышение продуктивности сельхозугодий, рост урожайности сельхозкультур.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В растениеводстве выращивание зерновых культур для Залиманского сельского поселения – первоочередная задача, решение которой позволит развиваться животноводству и перерабатывающим отраслям.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животноводстве основными задачами являются: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развитие молочного животноводства, восстановление оптимального поголовья скота с учетом обеспечения продовольственной безопасности населения не только самого поселения, но и района и области в целом;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создание сбалансированной кормовой базы, обеспечивающей потребности всего скотопоголовья при минимальном расходе кормов на единицу продукции, рационального использования лугопастбищных угодий и применения передовых технологий при заготовке кормов;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формирование стад животных с высокой продуктивностью.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животноводства должно стимулироваться во всех хозяйствах: личных подсобных, крестьянских (фермерских), коллективных и др.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Роль личного сектора в производстве сельхозпродукции сохранится. Функционирование личных подсобных хозяйств, развитие в них товарного производства должно осуществляться при активной государственной поддержке, с учетом их большой не только экономической, но и социальной значимости, поскольку ЛПХ способны выполнить функцию «стабилизатора» системы расселения.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Настоящим генеральным планом Залиманского поселения учитывается возможность последующей трансформации части ЛПХ в крестьянские (фермерские) хозяйства, а также дальнейшее их развитие как формы семейного предпринимательства. В этой форме хозяйств развитие производства органически слито с ведением домашнего хозяйства, используются как основные, так и дополнительные трудовые ресурсы (престарелые, дети). В семейном хозяйстве используется более гибкое, динамичное распределение всего дохода на потребление и накопление.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Предлагаемый настоящим проектом уровень развития сельскохозяйственного производства в 2 раза может быть достигнут при ликвидации существующих недостатков, создании материально-производственной базы, наличии инвестиций, долгосрочных кредитов. При неблагоприятных условиях развития (дальнейший упадок, отсутствие достаточных инвестиций и законодательной базы и др.) экономическое развитие поселения будет несостоятельным и обеспечение населения продуктами питания будет производиться по-прежнему, в основном за счет личных подсобных хозяйств и небольшого количества рентабельных сельхозпредприятий, крепких фермерских хозяйств, а доля ввозимых продуктов значительно увеличится.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Настоящим генеральным планом принимается оптимистический вариант экономического развития поселения, в котором предложения по восстановлению и развитию сельскохозяйственного производства базируются в первую очередь на задаче максимального обеспечения потребностей населения поселения основными продуктами питания местного производства.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Гипотезой развития экономики поселения, заложенной настоящим генеральным планом, учитывается устойчивое развитие существующих предприятий отрасли, ориентированных, в основном, на растениеводство (выращивание подсолнечника), а также восстановление и создание новых производственных мощностей в животноводстве.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Настоящим </w:t>
      </w:r>
      <w:bookmarkStart w:id="6" w:name="OLE_LINK3"/>
      <w:bookmarkStart w:id="7" w:name="OLE_LINK4"/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проектом предусматривается восстановление</w:t>
      </w:r>
      <w:bookmarkEnd w:id="6"/>
      <w:bookmarkEnd w:id="7"/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 2 ферм крупного рогатого скота, 3 молочно-товарных ферм, что позволит удовлетворить потребности собственного населения поселения в продуктах питания.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Для выращивания овощных культур на территории Залиманского сельского поселения выделяются территории порядка </w:t>
      </w:r>
      <w:smartTag w:uri="urn:schemas-microsoft-com:office:smarttags" w:element="metricconverter">
        <w:smartTagPr>
          <w:attr w:name="ProductID" w:val="100 га"/>
        </w:smartTagPr>
        <w:r w:rsidRPr="000C5C90">
          <w:rPr>
            <w:rFonts w:ascii="Arial" w:eastAsia="Times New Roman" w:hAnsi="Arial" w:cs="Arial"/>
            <w:sz w:val="24"/>
            <w:szCs w:val="24"/>
            <w:lang w:eastAsia="ru-RU"/>
          </w:rPr>
          <w:t>100 га</w:t>
        </w:r>
      </w:smartTag>
      <w:r w:rsidRPr="000C5C90">
        <w:rPr>
          <w:rFonts w:ascii="Arial" w:eastAsia="Times New Roman" w:hAnsi="Arial" w:cs="Arial"/>
          <w:sz w:val="24"/>
          <w:szCs w:val="24"/>
          <w:lang w:eastAsia="ru-RU"/>
        </w:rPr>
        <w:t>, а также предусматривается воссоздание ранее существовавшего тепличного хозяйства в с. Залиман (</w:t>
      </w:r>
      <w:smartTag w:uri="urn:schemas-microsoft-com:office:smarttags" w:element="metricconverter">
        <w:smartTagPr>
          <w:attr w:name="ProductID" w:val="4,5 га"/>
        </w:smartTagPr>
        <w:r w:rsidRPr="000C5C90">
          <w:rPr>
            <w:rFonts w:ascii="Arial" w:eastAsia="Times New Roman" w:hAnsi="Arial" w:cs="Arial"/>
            <w:sz w:val="24"/>
            <w:szCs w:val="24"/>
            <w:lang w:eastAsia="ru-RU"/>
          </w:rPr>
          <w:t>4,5 га</w:t>
        </w:r>
      </w:smartTag>
      <w:r w:rsidRPr="000C5C90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Основополагающую роль в развитии сельского хозяйства будет играть не только производство сельскохозяйственной продукции, но и ее хранение и переработка. Для этих целей генеральным планом выделены территории для организации минипредприятий для первичной переработки сельскохозяйственной продукции и заготовительно-складских баз, в частности, для переработки овощеводческой продукции.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Оперативное решение по формированию структуры перерабатывающих и заготовительных предприятий даст предпосылки к созданию при администрации (или на кооперативных началах) электронных бирж (например, в с. Залиман) для рекламы, цивилизованного сбыта сельскохозяйственной продукции или покупки необходимых для производства товаров (удобрений, кормов ит.д.), а также даст возможность обеспечить круглогодичную занятость трудоспособного сельского населения, стимулирует развитие малого предпринимательства.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сфере малого бизнеса приоритетным направлением должно являться развитие фермерских (крестьянских) хозяйств, а также производств, связанных с первичной переработкой, хранением и заготовкой сельскохозяйственной продукции. Кроме того, в несельскохозяйственной деятельности развитие малого бизнеса будет связано с сельской торговлей, социально-культурным и бытовым обслуживанием населения, возрождением народных промыслов и ремесел, туризмом и т.д.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малого бизнеса в сельской местности позволит снизить безработицу, диверсифицировать источники дохода сельских жителей, способствуя росту благосостояния и сохранению сельских населенных пунктов.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Предложенные меры по повышению занятости и доходов местного населения, наряду с господдержкой, будут стимулировать жилищное строительство в поселении. Приоритет должен быть отдан комплексной, компактной застройке, с высоким уровнем благоустройства. Устройство уличных дорог, тротуаров и озеленение – в комплексе создадут благоприятную жизненную среду для будущих жителей. Жилая застройка, преимущественно в 1-2-х этажном исполнении, должна отражать исторические традиции и особенности проживания населения. Наиболее простые строительные работы, входящие в традиционный спектр умений местного населения будет выполняться самими будущими жильцами. При этом устанавливается, что свой дом, построенный на своей земле – это серьезный фактор улучшения социального самочувствия, укрепления семьи, физического и эмоционального оздоровления человека.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Для решения жилищной проблемы необходимо разработать соответствующую программу, где должны быть предусмотрены организационно-техническая и информационная поддержка, а также создана система финансовой поддержки застройщиков (на районном и областном уровнях) для обеспечения доступности качественным жильём для всех категорий граждан. Обеспечение доступности жильём молодых семей и молодых специалистов необходимо осуществить на льготных условиях с использованием механизмов ипотечного кредитования.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Приоритетными направлениями природоохранной деятельности в рассматриваемый генеральным планом период (до2030г.) должны являться: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обеспечение комплексного и сбалансированного развития экономики поселения;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обеспечение экологической защиты;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оптимизация структуры использования земельных ресурсов.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социальной политике первоочередными задачами должны являться: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укрепление здоровья жителей поселения на основе доступности для всех слоев населения медицинской помощи, улучшения качества медицинских услуг;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развитие массовой физической культуры и спорта;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создание условий для сохранения жизни, здоровья в процессе трудовой деятельности;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оптимизация адресности социальной поддержки населения.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4.2. Население</w:t>
      </w:r>
      <w:bookmarkEnd w:id="5"/>
    </w:p>
    <w:p w:rsidR="000C5C90" w:rsidRPr="000C5C90" w:rsidRDefault="000C5C90" w:rsidP="000C5C90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Расчетная численность населения Залиманского сельского поселения составит:</w:t>
      </w:r>
    </w:p>
    <w:tbl>
      <w:tblPr>
        <w:tblW w:w="9356" w:type="dxa"/>
        <w:jc w:val="right"/>
        <w:tblLook w:val="04A0" w:firstRow="1" w:lastRow="0" w:firstColumn="1" w:lastColumn="0" w:noHBand="0" w:noVBand="1"/>
      </w:tblPr>
      <w:tblGrid>
        <w:gridCol w:w="4206"/>
        <w:gridCol w:w="2575"/>
        <w:gridCol w:w="2575"/>
      </w:tblGrid>
      <w:tr w:rsidR="000C5C90" w:rsidRPr="000C5C90" w:rsidTr="000C5C90">
        <w:trPr>
          <w:trHeight w:val="270"/>
          <w:jc w:val="right"/>
        </w:trPr>
        <w:tc>
          <w:tcPr>
            <w:tcW w:w="42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2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 xml:space="preserve">I </w:t>
            </w: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очередь (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C5C90">
                <w:rPr>
                  <w:rFonts w:ascii="Arial" w:eastAsia="Times New Roman" w:hAnsi="Arial" w:cs="Arial"/>
                  <w:bCs/>
                  <w:sz w:val="24"/>
                  <w:szCs w:val="24"/>
                  <w:lang w:eastAsia="ru-RU"/>
                </w:rPr>
                <w:t>20</w:t>
              </w:r>
              <w:r w:rsidRPr="000C5C90">
                <w:rPr>
                  <w:rFonts w:ascii="Arial" w:eastAsia="Times New Roman" w:hAnsi="Arial" w:cs="Arial"/>
                  <w:bCs/>
                  <w:sz w:val="24"/>
                  <w:szCs w:val="24"/>
                  <w:lang w:val="en-US" w:eastAsia="ru-RU"/>
                </w:rPr>
                <w:t>15</w:t>
              </w:r>
              <w:r w:rsidRPr="000C5C90">
                <w:rPr>
                  <w:rFonts w:ascii="Arial" w:eastAsia="Times New Roman" w:hAnsi="Arial" w:cs="Arial"/>
                  <w:bCs/>
                  <w:sz w:val="24"/>
                  <w:szCs w:val="24"/>
                  <w:lang w:eastAsia="ru-RU"/>
                </w:rPr>
                <w:t xml:space="preserve"> г</w:t>
              </w:r>
            </w:smartTag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Расчетный срок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0C5C90">
                <w:rPr>
                  <w:rFonts w:ascii="Arial" w:eastAsia="Times New Roman" w:hAnsi="Arial" w:cs="Arial"/>
                  <w:bCs/>
                  <w:sz w:val="24"/>
                  <w:szCs w:val="24"/>
                  <w:lang w:eastAsia="ru-RU"/>
                </w:rPr>
                <w:t>2030 г</w:t>
              </w:r>
            </w:smartTag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0C5C90" w:rsidRPr="000C5C90" w:rsidTr="000C5C90">
        <w:trPr>
          <w:trHeight w:val="409"/>
          <w:jc w:val="right"/>
        </w:trPr>
        <w:tc>
          <w:tcPr>
            <w:tcW w:w="42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Численность постоянного населения – </w:t>
            </w: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всего,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том числе: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3,3</w:t>
            </w:r>
          </w:p>
        </w:tc>
      </w:tr>
      <w:tr w:rsidR="000C5C90" w:rsidRPr="000C5C90" w:rsidTr="000C5C90">
        <w:trPr>
          <w:trHeight w:val="215"/>
          <w:jc w:val="right"/>
        </w:trPr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2,6</w:t>
            </w:r>
          </w:p>
        </w:tc>
      </w:tr>
      <w:tr w:rsidR="000C5C90" w:rsidRPr="000C5C90" w:rsidTr="000C5C90">
        <w:trPr>
          <w:trHeight w:val="296"/>
          <w:jc w:val="right"/>
        </w:trPr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0,6</w:t>
            </w:r>
          </w:p>
        </w:tc>
      </w:tr>
      <w:tr w:rsidR="000C5C90" w:rsidRPr="000C5C90" w:rsidTr="000C5C90">
        <w:trPr>
          <w:trHeight w:val="182"/>
          <w:jc w:val="right"/>
        </w:trPr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0,1</w:t>
            </w: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8" w:name="_Toc254266583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4.3. Норма жилищной обеспеченности</w:t>
      </w:r>
      <w:bookmarkEnd w:id="8"/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Настоящим проектом средняя обеспеченность общей площадью жилых помещений на 1 человека принимается:</w:t>
      </w:r>
    </w:p>
    <w:tbl>
      <w:tblPr>
        <w:tblW w:w="8659" w:type="dxa"/>
        <w:jc w:val="center"/>
        <w:tblLook w:val="04A0" w:firstRow="1" w:lastRow="0" w:firstColumn="1" w:lastColumn="0" w:noHBand="0" w:noVBand="1"/>
      </w:tblPr>
      <w:tblGrid>
        <w:gridCol w:w="4969"/>
        <w:gridCol w:w="3690"/>
      </w:tblGrid>
      <w:tr w:rsidR="000C5C90" w:rsidRPr="000C5C90" w:rsidTr="000C5C90">
        <w:trPr>
          <w:jc w:val="center"/>
        </w:trPr>
        <w:tc>
          <w:tcPr>
            <w:tcW w:w="4969" w:type="dxa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- На </w:t>
            </w:r>
            <w:r w:rsidRPr="000C5C90">
              <w:rPr>
                <w:rFonts w:ascii="Arial" w:eastAsia="Calibri" w:hAnsi="Arial" w:cs="Arial"/>
                <w:sz w:val="24"/>
                <w:szCs w:val="24"/>
                <w:lang w:val="en-US"/>
              </w:rPr>
              <w:t>I</w:t>
            </w:r>
            <w:r w:rsidRPr="000C5C90">
              <w:rPr>
                <w:rFonts w:ascii="Arial" w:eastAsia="Calibri" w:hAnsi="Arial" w:cs="Arial"/>
                <w:sz w:val="24"/>
                <w:szCs w:val="24"/>
              </w:rPr>
              <w:t>-ю очередь строительства (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2015 г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>.)</w:t>
            </w:r>
          </w:p>
        </w:tc>
        <w:tc>
          <w:tcPr>
            <w:tcW w:w="3690" w:type="dxa"/>
            <w:hideMark/>
          </w:tcPr>
          <w:p w:rsidR="000C5C90" w:rsidRPr="000C5C90" w:rsidRDefault="000C5C90" w:rsidP="000C5C90">
            <w:pPr>
              <w:tabs>
                <w:tab w:val="left" w:pos="163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25 м2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25 м</w:t>
              </w:r>
              <w:r w:rsidRPr="000C5C90">
                <w:rPr>
                  <w:rFonts w:ascii="Arial" w:eastAsia="Calibri" w:hAnsi="Arial" w:cs="Arial"/>
                  <w:sz w:val="24"/>
                  <w:szCs w:val="24"/>
                  <w:vertAlign w:val="superscript"/>
                </w:rPr>
                <w:t>2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 общей площади/чел.</w:t>
            </w:r>
          </w:p>
        </w:tc>
      </w:tr>
      <w:tr w:rsidR="000C5C90" w:rsidRPr="000C5C90" w:rsidTr="000C5C90">
        <w:trPr>
          <w:jc w:val="center"/>
        </w:trPr>
        <w:tc>
          <w:tcPr>
            <w:tcW w:w="4969" w:type="dxa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К расчетному сроку 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2030 г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>.)</w:t>
            </w:r>
          </w:p>
        </w:tc>
        <w:tc>
          <w:tcPr>
            <w:tcW w:w="3690" w:type="dxa"/>
            <w:hideMark/>
          </w:tcPr>
          <w:p w:rsidR="000C5C90" w:rsidRPr="000C5C90" w:rsidRDefault="000C5C90" w:rsidP="000C5C90">
            <w:pPr>
              <w:tabs>
                <w:tab w:val="left" w:pos="163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35 м2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35 м</w:t>
              </w:r>
              <w:r w:rsidRPr="000C5C90">
                <w:rPr>
                  <w:rFonts w:ascii="Arial" w:eastAsia="Calibri" w:hAnsi="Arial" w:cs="Arial"/>
                  <w:sz w:val="24"/>
                  <w:szCs w:val="24"/>
                  <w:vertAlign w:val="superscript"/>
                </w:rPr>
                <w:t>2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 общей площади/чел.</w:t>
            </w: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9" w:name="_Toc254266584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4.4. Жилищный фонд</w:t>
      </w:r>
      <w:bookmarkEnd w:id="9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Общий объем жилищного фонда Залиманского сельского поселения достигнет:</w:t>
      </w:r>
    </w:p>
    <w:tbl>
      <w:tblPr>
        <w:tblW w:w="8966" w:type="dxa"/>
        <w:jc w:val="center"/>
        <w:tblLook w:val="04A0" w:firstRow="1" w:lastRow="0" w:firstColumn="1" w:lastColumn="0" w:noHBand="0" w:noVBand="1"/>
      </w:tblPr>
      <w:tblGrid>
        <w:gridCol w:w="5070"/>
        <w:gridCol w:w="3896"/>
      </w:tblGrid>
      <w:tr w:rsidR="000C5C90" w:rsidRPr="000C5C90" w:rsidTr="000C5C90">
        <w:trPr>
          <w:trHeight w:val="288"/>
          <w:jc w:val="center"/>
        </w:trPr>
        <w:tc>
          <w:tcPr>
            <w:tcW w:w="5070" w:type="dxa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- На </w:t>
            </w:r>
            <w:r w:rsidRPr="000C5C90">
              <w:rPr>
                <w:rFonts w:ascii="Arial" w:eastAsia="Calibri" w:hAnsi="Arial" w:cs="Arial"/>
                <w:sz w:val="24"/>
                <w:szCs w:val="24"/>
                <w:lang w:val="en-US"/>
              </w:rPr>
              <w:t>I</w:t>
            </w:r>
            <w:r w:rsidRPr="000C5C90">
              <w:rPr>
                <w:rFonts w:ascii="Arial" w:eastAsia="Calibri" w:hAnsi="Arial" w:cs="Arial"/>
                <w:sz w:val="24"/>
                <w:szCs w:val="24"/>
              </w:rPr>
              <w:t>-ю очередь строительства (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2015 г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>.)</w:t>
            </w:r>
          </w:p>
        </w:tc>
        <w:tc>
          <w:tcPr>
            <w:tcW w:w="3896" w:type="dxa"/>
            <w:hideMark/>
          </w:tcPr>
          <w:p w:rsidR="000C5C90" w:rsidRPr="000C5C90" w:rsidRDefault="000C5C90" w:rsidP="000C5C90">
            <w:pPr>
              <w:widowControl w:val="0"/>
              <w:numPr>
                <w:ilvl w:val="0"/>
                <w:numId w:val="2"/>
              </w:numPr>
              <w:tabs>
                <w:tab w:val="left" w:pos="163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 90,5 тыс. м</w:t>
            </w:r>
            <w:r w:rsidRPr="000C5C90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 xml:space="preserve">2 </w:t>
            </w:r>
            <w:r w:rsidRPr="000C5C90">
              <w:rPr>
                <w:rFonts w:ascii="Arial" w:eastAsia="Calibri" w:hAnsi="Arial" w:cs="Arial"/>
                <w:sz w:val="24"/>
                <w:szCs w:val="24"/>
              </w:rPr>
              <w:t>общей площади</w:t>
            </w:r>
          </w:p>
        </w:tc>
      </w:tr>
      <w:tr w:rsidR="000C5C90" w:rsidRPr="000C5C90" w:rsidTr="000C5C90">
        <w:trPr>
          <w:trHeight w:val="288"/>
          <w:jc w:val="center"/>
        </w:trPr>
        <w:tc>
          <w:tcPr>
            <w:tcW w:w="5070" w:type="dxa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К расчетному сроку 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2030 г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>.)</w:t>
            </w:r>
          </w:p>
        </w:tc>
        <w:tc>
          <w:tcPr>
            <w:tcW w:w="3896" w:type="dxa"/>
            <w:hideMark/>
          </w:tcPr>
          <w:p w:rsidR="000C5C90" w:rsidRPr="000C5C90" w:rsidRDefault="000C5C90" w:rsidP="000C5C90">
            <w:pPr>
              <w:widowControl w:val="0"/>
              <w:numPr>
                <w:ilvl w:val="0"/>
                <w:numId w:val="2"/>
              </w:numPr>
              <w:tabs>
                <w:tab w:val="left" w:pos="163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 122,0 тыс. м</w:t>
            </w:r>
            <w:r w:rsidRPr="000C5C90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 xml:space="preserve">2 </w:t>
            </w:r>
            <w:r w:rsidRPr="000C5C90">
              <w:rPr>
                <w:rFonts w:ascii="Arial" w:eastAsia="Calibri" w:hAnsi="Arial" w:cs="Arial"/>
                <w:sz w:val="24"/>
                <w:szCs w:val="24"/>
              </w:rPr>
              <w:t>общей площади</w:t>
            </w: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Общий объем сноса ветхого жилищного фонда составит 2 тыс. м</w:t>
      </w:r>
      <w:r w:rsidRPr="000C5C90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10" w:name="_Toc254266585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4.5. Новое жилищное строительство</w:t>
      </w:r>
      <w:bookmarkEnd w:id="10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Общий объем нового жилищного строительства Залиманского сельского поселения составит:</w:t>
      </w:r>
    </w:p>
    <w:tbl>
      <w:tblPr>
        <w:tblW w:w="9237" w:type="dxa"/>
        <w:jc w:val="center"/>
        <w:tblLook w:val="04A0" w:firstRow="1" w:lastRow="0" w:firstColumn="1" w:lastColumn="0" w:noHBand="0" w:noVBand="1"/>
      </w:tblPr>
      <w:tblGrid>
        <w:gridCol w:w="6240"/>
        <w:gridCol w:w="1950"/>
        <w:gridCol w:w="1047"/>
      </w:tblGrid>
      <w:tr w:rsidR="000C5C90" w:rsidRPr="000C5C90" w:rsidTr="000C5C90">
        <w:trPr>
          <w:jc w:val="center"/>
        </w:trPr>
        <w:tc>
          <w:tcPr>
            <w:tcW w:w="624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К расчетному сроку 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2030 г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.): </w:t>
            </w:r>
          </w:p>
        </w:tc>
        <w:tc>
          <w:tcPr>
            <w:tcW w:w="195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163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 -47,5 тыс. м</w:t>
            </w:r>
            <w:r w:rsidRPr="000C5C90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47" w:type="dxa"/>
            <w:vAlign w:val="center"/>
            <w:hideMark/>
          </w:tcPr>
          <w:p w:rsidR="000C5C90" w:rsidRPr="000C5C90" w:rsidRDefault="000C5C90" w:rsidP="000C5C90">
            <w:pPr>
              <w:widowControl w:val="0"/>
              <w:numPr>
                <w:ilvl w:val="0"/>
                <w:numId w:val="4"/>
              </w:numPr>
              <w:tabs>
                <w:tab w:val="left" w:pos="163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100%</w:t>
            </w:r>
          </w:p>
        </w:tc>
      </w:tr>
      <w:tr w:rsidR="000C5C90" w:rsidRPr="000C5C90" w:rsidTr="000C5C90">
        <w:trPr>
          <w:trHeight w:val="697"/>
          <w:jc w:val="center"/>
        </w:trPr>
        <w:tc>
          <w:tcPr>
            <w:tcW w:w="624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в индивидуальной жилой застройке (1-2 эт. дома с участками до 20 соток)</w:t>
            </w:r>
          </w:p>
        </w:tc>
        <w:tc>
          <w:tcPr>
            <w:tcW w:w="195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163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- 10,0 тыс. м</w:t>
            </w:r>
            <w:r w:rsidRPr="000C5C90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47" w:type="dxa"/>
            <w:vAlign w:val="center"/>
            <w:hideMark/>
          </w:tcPr>
          <w:p w:rsidR="000C5C90" w:rsidRPr="000C5C90" w:rsidRDefault="000C5C90" w:rsidP="000C5C90">
            <w:pPr>
              <w:widowControl w:val="0"/>
              <w:numPr>
                <w:ilvl w:val="0"/>
                <w:numId w:val="4"/>
              </w:numPr>
              <w:tabs>
                <w:tab w:val="left" w:pos="163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21%</w:t>
            </w:r>
          </w:p>
        </w:tc>
      </w:tr>
      <w:tr w:rsidR="000C5C90" w:rsidRPr="000C5C90" w:rsidTr="000C5C90">
        <w:trPr>
          <w:jc w:val="center"/>
        </w:trPr>
        <w:tc>
          <w:tcPr>
            <w:tcW w:w="624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в малоэтажной застройке (2-эт.)</w:t>
            </w:r>
          </w:p>
        </w:tc>
        <w:tc>
          <w:tcPr>
            <w:tcW w:w="195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163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- 37,5 тыс. м</w:t>
            </w:r>
            <w:r w:rsidRPr="000C5C90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47" w:type="dxa"/>
            <w:vAlign w:val="center"/>
            <w:hideMark/>
          </w:tcPr>
          <w:p w:rsidR="000C5C90" w:rsidRPr="000C5C90" w:rsidRDefault="000C5C90" w:rsidP="000C5C90">
            <w:pPr>
              <w:widowControl w:val="0"/>
              <w:numPr>
                <w:ilvl w:val="0"/>
                <w:numId w:val="4"/>
              </w:numPr>
              <w:tabs>
                <w:tab w:val="left" w:pos="163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79%</w:t>
            </w:r>
          </w:p>
        </w:tc>
      </w:tr>
      <w:tr w:rsidR="000C5C90" w:rsidRPr="000C5C90" w:rsidTr="000C5C90">
        <w:trPr>
          <w:jc w:val="center"/>
        </w:trPr>
        <w:tc>
          <w:tcPr>
            <w:tcW w:w="624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из них:</w:t>
            </w:r>
          </w:p>
        </w:tc>
        <w:tc>
          <w:tcPr>
            <w:tcW w:w="1950" w:type="dxa"/>
            <w:vAlign w:val="center"/>
          </w:tcPr>
          <w:p w:rsidR="000C5C90" w:rsidRPr="000C5C90" w:rsidRDefault="000C5C90" w:rsidP="000C5C90">
            <w:pPr>
              <w:tabs>
                <w:tab w:val="left" w:pos="163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047" w:type="dxa"/>
            <w:vAlign w:val="center"/>
          </w:tcPr>
          <w:p w:rsidR="000C5C90" w:rsidRPr="000C5C90" w:rsidRDefault="000C5C90" w:rsidP="000C5C90">
            <w:pPr>
              <w:tabs>
                <w:tab w:val="left" w:pos="163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C5C90" w:rsidRPr="000C5C90" w:rsidTr="000C5C90">
        <w:trPr>
          <w:jc w:val="center"/>
        </w:trPr>
        <w:tc>
          <w:tcPr>
            <w:tcW w:w="6240" w:type="dxa"/>
            <w:vAlign w:val="center"/>
            <w:hideMark/>
          </w:tcPr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 xml:space="preserve">- На </w:t>
            </w:r>
            <w:r w:rsidRPr="000C5C90">
              <w:rPr>
                <w:rFonts w:ascii="Arial" w:eastAsia="Calibri" w:hAnsi="Arial" w:cs="Arial"/>
                <w:sz w:val="24"/>
                <w:szCs w:val="24"/>
                <w:lang w:val="en-US"/>
              </w:rPr>
              <w:t>I</w:t>
            </w:r>
            <w:r w:rsidRPr="000C5C90">
              <w:rPr>
                <w:rFonts w:ascii="Arial" w:eastAsia="Calibri" w:hAnsi="Arial" w:cs="Arial"/>
                <w:sz w:val="24"/>
                <w:szCs w:val="24"/>
              </w:rPr>
              <w:t>-ю очередь строительства (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C5C90">
                <w:rPr>
                  <w:rFonts w:ascii="Arial" w:eastAsia="Calibri" w:hAnsi="Arial" w:cs="Arial"/>
                  <w:sz w:val="24"/>
                  <w:szCs w:val="24"/>
                </w:rPr>
                <w:t>2015 г</w:t>
              </w:r>
            </w:smartTag>
            <w:r w:rsidRPr="000C5C90">
              <w:rPr>
                <w:rFonts w:ascii="Arial" w:eastAsia="Calibri" w:hAnsi="Arial" w:cs="Arial"/>
                <w:sz w:val="24"/>
                <w:szCs w:val="24"/>
              </w:rPr>
              <w:t>.):</w:t>
            </w:r>
          </w:p>
          <w:p w:rsidR="000C5C90" w:rsidRPr="000C5C90" w:rsidRDefault="000C5C90" w:rsidP="000C5C9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- в индивидуальной жилой застройке (1-2 эт. дома с участками до 20 соток)</w:t>
            </w:r>
          </w:p>
        </w:tc>
        <w:tc>
          <w:tcPr>
            <w:tcW w:w="1950" w:type="dxa"/>
            <w:vAlign w:val="center"/>
            <w:hideMark/>
          </w:tcPr>
          <w:p w:rsidR="000C5C90" w:rsidRPr="000C5C90" w:rsidRDefault="000C5C90" w:rsidP="000C5C90">
            <w:pPr>
              <w:widowControl w:val="0"/>
              <w:numPr>
                <w:ilvl w:val="0"/>
                <w:numId w:val="4"/>
              </w:numPr>
              <w:tabs>
                <w:tab w:val="left" w:pos="163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14,5 тыс. м</w:t>
            </w:r>
            <w:r w:rsidRPr="000C5C90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47" w:type="dxa"/>
            <w:vAlign w:val="center"/>
            <w:hideMark/>
          </w:tcPr>
          <w:p w:rsidR="000C5C90" w:rsidRPr="000C5C90" w:rsidRDefault="000C5C90" w:rsidP="000C5C90">
            <w:pPr>
              <w:widowControl w:val="0"/>
              <w:numPr>
                <w:ilvl w:val="0"/>
                <w:numId w:val="4"/>
              </w:numPr>
              <w:tabs>
                <w:tab w:val="left" w:pos="163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C5C90">
              <w:rPr>
                <w:rFonts w:ascii="Arial" w:eastAsia="Calibri" w:hAnsi="Arial" w:cs="Arial"/>
                <w:sz w:val="24"/>
                <w:szCs w:val="24"/>
              </w:rPr>
              <w:t>30%</w:t>
            </w: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Территории, предусмотренные проектом для размещения нового жилищного строительства определены в количестве </w:t>
      </w:r>
      <w:smartTag w:uri="urn:schemas-microsoft-com:office:smarttags" w:element="metricconverter">
        <w:smartTagPr>
          <w:attr w:name="ProductID" w:val="80 га"/>
        </w:smartTagPr>
        <w:r w:rsidRPr="000C5C90">
          <w:rPr>
            <w:rFonts w:ascii="Arial" w:eastAsia="Times New Roman" w:hAnsi="Arial" w:cs="Arial"/>
            <w:sz w:val="24"/>
            <w:szCs w:val="24"/>
            <w:lang w:eastAsia="ru-RU"/>
          </w:rPr>
          <w:t>80 га</w:t>
        </w:r>
      </w:smartTag>
      <w:r w:rsidRPr="000C5C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11" w:name="_Toc254266586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4.6. Система социального и культурно-бытового обслуживания</w:t>
      </w:r>
      <w:bookmarkEnd w:id="11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Общие задачи в системе социального и культурно-бытового обслуживания предусматривают:</w:t>
      </w:r>
    </w:p>
    <w:p w:rsidR="000C5C90" w:rsidRPr="000C5C90" w:rsidRDefault="000C5C90" w:rsidP="000C5C90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удовлетворение потребности населения Залиманского сельского поселения в учреждениях социального и культурно-бытового обслуживания с учетом экономического потенциала и масштаба развития поселения;</w:t>
      </w:r>
    </w:p>
    <w:p w:rsidR="000C5C90" w:rsidRPr="000C5C90" w:rsidRDefault="000C5C90" w:rsidP="000C5C90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достижение для жителей поселения уровня обеспеченности объектами социального и культурно-бытового обслуживания, соответствующего нормируемому социально гарантированному уровню обслуживания по каждому виду;</w:t>
      </w:r>
    </w:p>
    <w:p w:rsidR="000C5C90" w:rsidRPr="000C5C90" w:rsidRDefault="000C5C90" w:rsidP="000C5C90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проведение мероприятий по укреплению и обновлению материально-технической базы учреждений социального и культурно-бытового обслуживания с учетом изменившихся социально-экономических условий жизни.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Предложения по дальнейшему развитию и совершенствованию социальной сферы по основным направлениям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Образование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строительство детского сада на 90 мест в с. Залиман, детского сада на 25 мест в х. Галиевка;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строительство новой школы на 350 мест в с. Залиман (вместо ликвидируемой Залиманской общеобразовательной школы, находящейся в ветхом состоянии);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проведение капитального ремонта/реконструкции здания Галиевской начальной школы, вместимость которой составит 50 мест.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организация групп внешкольного образования детей (музыкальный, художественный кружок, кружок детского творчества) при новой школе в с. Залиман и реконструируемой Галиевской начальной школе.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Здравоохранение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проведение мероприятий по реконструкции или капитальному ремонту зданий учреждений здравоохранения поселения (ФАП в х. Галиевка, с. Грушовое), укреплению материально-технической базы медучреждений, организации при них аптечных пунктов и раздаточных пунктов молочной кухни.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Физическая культура и спорт 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строительство стадиона в с. Залиман, футбольного поля и спортивных площадок в с. Галиевка; 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строительство физкультурно-оздоровительных комплексов со спортзалами и бассейном в с. Залиман и в х. Галиевка.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Культура и искусство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проведение капитального ремонта существующих зданий сельских клубов;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организация в школах медиатек (интернет-класса) в соответствии с федеральной программой;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обновление книжного фонда библиотек, развитие процесса информатизации и компьютеризации библиотечной системы.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Торговля и общественное питание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строительство в с. Залиман 2 торгово-бытовых центров, включающих магазины непродовольственных товаров, предприятия бытового обслуживания (ремонтные мастерские, парикмахерская); 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строительство новых предприятий общественного питания (кафе, столовых) и магазинов непродовольственных товаров в селах Залиман, Галиевка, Грушовое;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размещение магазинов, предприятий общественного питания в составе предлагаемых к строительству придорожных центрах (с. Залиман, х. Галиевка), туристско-гостиничном центре (с. Залиман), автотуристическом сервисном комплексе (вблизи с. Залиман, вдоль трассы М4 «Дон»).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Учреждения коммунального и бытового обслуживания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строительство в с. Залиман комплекса коммунального обслуживания, включающего предприятия по стирке и химчистке белья (в том числе и предприятия самообслуживания), 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размещение предприятий бытового обслуживания в составе нового торгово-бытового центра в с. Залиман, а также в жилой застройке.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восстановление бани в с. Галиевка на 20 помывочных мест; организация бани/сауны в составе физкультурно-оздоровительного комплекса в с. Залиман;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строительства автотуристического сервисного комплекса, включающего обслуживающие, ремонтные мастерские, автомойку, паркинг, мотель, парикмахерскую, магазин, кафе);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строительство туристско-гостиничного центра в с. Залиман;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строительство придорожных центров в с. Залиман, х. Галиевка;</w:t>
      </w:r>
    </w:p>
    <w:p w:rsidR="000C5C90" w:rsidRPr="000C5C90" w:rsidRDefault="000C5C90" w:rsidP="000C5C90">
      <w:pPr>
        <w:widowControl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расширение существующего кладбища в с. Грушовое на </w:t>
      </w:r>
      <w:smartTag w:uri="urn:schemas-microsoft-com:office:smarttags" w:element="metricconverter">
        <w:smartTagPr>
          <w:attr w:name="ProductID" w:val="0,5 га"/>
        </w:smartTagPr>
        <w:r w:rsidRPr="000C5C90">
          <w:rPr>
            <w:rFonts w:ascii="Arial" w:eastAsia="Times New Roman" w:hAnsi="Arial" w:cs="Arial"/>
            <w:sz w:val="24"/>
            <w:szCs w:val="24"/>
            <w:lang w:eastAsia="ru-RU"/>
          </w:rPr>
          <w:t>0,5 га</w:t>
        </w:r>
      </w:smartTag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, кладбища вблизи с. Залиман на </w:t>
      </w:r>
      <w:smartTag w:uri="urn:schemas-microsoft-com:office:smarttags" w:element="metricconverter">
        <w:smartTagPr>
          <w:attr w:name="ProductID" w:val="4 га"/>
        </w:smartTagPr>
        <w:r w:rsidRPr="000C5C90">
          <w:rPr>
            <w:rFonts w:ascii="Arial" w:eastAsia="Times New Roman" w:hAnsi="Arial" w:cs="Arial"/>
            <w:sz w:val="24"/>
            <w:szCs w:val="24"/>
            <w:lang w:eastAsia="ru-RU"/>
          </w:rPr>
          <w:t>4 га</w:t>
        </w:r>
      </w:smartTag>
      <w:r w:rsidRPr="000C5C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12" w:name="_Toc254266587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4.7. Территории необходимые для размещения нового жилищного строительства и объектов социального и культурно-бытового обслуживания</w:t>
      </w:r>
      <w:bookmarkEnd w:id="12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Потребности Залиманского сельского поселения в территориях для размещения нового жилищного строительства составят </w:t>
      </w:r>
      <w:smartTag w:uri="urn:schemas-microsoft-com:office:smarttags" w:element="metricconverter">
        <w:smartTagPr>
          <w:attr w:name="ProductID" w:val="80 га"/>
        </w:smartTagPr>
        <w:r w:rsidRPr="000C5C90">
          <w:rPr>
            <w:rFonts w:ascii="Arial" w:eastAsia="Times New Roman" w:hAnsi="Arial" w:cs="Arial"/>
            <w:sz w:val="24"/>
            <w:szCs w:val="24"/>
            <w:lang w:eastAsia="ru-RU"/>
          </w:rPr>
          <w:t>80 га</w:t>
        </w:r>
      </w:smartTag>
      <w:r w:rsidRPr="000C5C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Для объектов социального и культурно-бытового обслуживания – </w:t>
      </w:r>
      <w:smartTag w:uri="urn:schemas-microsoft-com:office:smarttags" w:element="metricconverter">
        <w:smartTagPr>
          <w:attr w:name="ProductID" w:val="30 га"/>
        </w:smartTagPr>
        <w:r w:rsidRPr="000C5C90">
          <w:rPr>
            <w:rFonts w:ascii="Arial" w:eastAsia="Times New Roman" w:hAnsi="Arial" w:cs="Arial"/>
            <w:sz w:val="24"/>
            <w:szCs w:val="24"/>
            <w:lang w:eastAsia="ru-RU"/>
          </w:rPr>
          <w:t>30 га</w:t>
        </w:r>
      </w:smartTag>
      <w:r w:rsidRPr="000C5C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bookmarkStart w:id="13" w:name="_Toc254266588"/>
      <w:bookmarkStart w:id="14" w:name="_Toc254338956"/>
      <w:bookmarkEnd w:id="4"/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4.8. Функциональное зонирование и архитектурно-планировочная структура территории сельского поселения</w:t>
      </w:r>
      <w:bookmarkEnd w:id="13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основу проектных решений генерального плана Залиманского сельского поселения были сформированы и положены следующие принципы: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формирование планируемого функционального развития территории для освоения существующего функционального зонирования и с учетом комплексного развития поселения;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развитие планировочного каркаса с учетом сохранения сложившейся структуры поселения;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развитие поселения и определение территорий для развития селитебной зоны, производственной, рекреационной и других функциональных зон с учетом санитарных и экологических требований;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реконструкция и благоустройство всех функциональных зон населенных пунктов, разработка мероприятий по качественному улучшению среды проживания;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обеспечение охраны и рационального использования природных ресурсов;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развитие и совершенствование существующей транспортной и инженерной инфраструктуры;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формирование предложений по границам населенных пунктов с учетом использования территорий в пределах существующих и проектных границ населенных пунктов.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рамках развития Залиманского сельского поселения предлагается - развитие и обустройство населенных пунктов, реконструкция объектов капитального строительства, благоустройство территории, создание зон отдыха на основе формирования и развития следующих функциональных зон:.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жилой;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общественно-деловой;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производственной;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рекреационной;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сельскохозяйственного использования;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инженерной и транспортной инфраструктур;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специального назначения;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иного назначения.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Проектные функциональные зоны сельского поселения сформированы на основе существующих с учетом их дальнейшего развития во взаимосвязи с общерегиональной инфраструктурой, обоснования параметров планируемого развития населенных пунктов, входящих в состав поселения.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с. Залиман основной застройкой предлагается индивидуальная коттеджная застройка с приусадебными участками и частично малоэтажная (блокированная).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Территории под индивидуальную застройку в с.Залиман определены в северной части по улицам Звездная, Степная, в восточной части по улицам Луговой и Малаховского. В южной части села формируется небольшой жилой район смешанной застройки (малоэтажная блокированная застройка и индивидуальные коттеджи).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Проектом намечено дальнейшее развитие общественно-деловой застройки за счет реконструкции существующих объектов и строительства новых. Предлагается новая площадь по ул. Пугачева, которая будет сформирована ФОК, административным зданием и торговым комплексом.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Предусматривается строительство физкультурно-досугового центра, новой школы со спортивным ядром, реконструкция старой школы с учетом преобразования ее в новый функциональный центр с различными функциями (школа искусств, художественная и музыкальная школы и др.).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Предлагается реконструкция сельского клуба с приданием ему новых культурно-досуговых функций.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Предлагается строительство новых общественно-торговых объектов в районах новой жилой застройки, а также развитие сервисных услуг вдоль федеральных трасс, проходящих по территории Залиманского сельского поселения (гостиницы, мотели, кафе, автосервис, АЗС, магазины, центры отдыха).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Генеральным планом предусматривается развитие производственных зон с учетом максимального использования существующих территорий под объектами производственного назначения с перспективой их развития.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Предлагается строительство предприятий сельхозназначения с расширением видов переработки для круглогодичной занятости трудоспособного населения.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На перспективу предлагается использовать свободную территорию под питомник, выращивание семенных культур для сельскохозяйственного использования.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Планировочной структурой населенного пункта Залиман, с учетом функционального зонирования, предлагается создание рекреационных зон с учетом использования существующего ландшафта и водных объектов.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центре сельского поселения с. Залиман предлагается создание зоны отдыха в южной части села. Данная зона отдыха будет обслуживать и население г. Богучара, который находится в непосредственной близости от нее.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Учитывая параметры населенных пунктов в селах Залиман, Грушовове и хуторе Галиевка, предложено создание единой планировочной системы, которая позволит максимально обеспечить объектами инфраструктуры местное население, и улучшит комфортность их проживания.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На хуторе Галиевка и селе Грушовое предусматривается только индивидуальная застройка, формирование общественных центров, реконструкция существующих общественных зданий с приданием им новых общественных функций.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Галиевке и Грушовое предлагается восстановление, реконструкция, и небольшое расширения предприятий сельхозназначения.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Галиевка и Грушовое в целях рекреации предлагается использовать территории, прилегающие к реке, с мероприятиями по укреплению склонов.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В селе Залиман и селе Грушовое предусмотрено изменение границ населенных пунктов.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4.9. Транспортная инфраструктура</w:t>
      </w:r>
      <w:bookmarkEnd w:id="14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Настоящим проектом предлагается: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Строительство дороги федерального значения от М4 «Дон» в обход г. Богучар и селитебной территории с. Залиман и х. Галиевка со строительством высоководного моста через р. Дон (в соответствии с решениями «Схемы территориального планирования Воронежской области») со строительством развязки в двух уровнях на пересечении данной дороги и автодороги М4 «Дон»;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-Усовершенствование дорожного покрытия дорог регионального значения М4 "Дон" - Богучар - Петропавловка" - с. Грушовое, "Павловск - Калач - Петропавловка" - Верхний Мамон" - с. Грушовое и дороги от а\д М4 "Дон" - Богучар - Петропавловка" - с. Грушовое к х. Галиевка (в соответствии с областной целевой программой «Повышения безопасности дорожного движения в Воронежской области на период 2007-2012 годы»);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Строительство автостанций в с. Залиман на пересечении ул. Малаховского и главной улицы, выходящей на дорогу М4 "Дон" - Богучар - Петропавловка" - с. Грушовое, и в х. Галиевка на ул. Донская.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 Строительство станции технического обслуживания и автозаправочной станции на пересечении федеральных дорог в комплексе с автотуристическим центром.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Строительство станции технического обслуживания в с.Залиман на ул. Малаховского площадью 1га.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Основные направление движения велосипедистов и пешеходов.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результате реализации решений генерального плана: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протяженность дорог увеличится на 3,6км и составит к расчетному сроку 36,4км;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протяженность уличной сети возрастет на 13,6км и составит 58,6км;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площадь дорог составит 63,3га;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площадь улиц населенных пунктов поселения составит 83,8га, проезжих частей – 40,4га;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уровень автомобилизации составит 350маш./тыс.жит;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количество машин – 1150 единиц.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Хранение легковых автомобилей жители поселения будут осуществлять на своих приусадебных участках.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4.10. Инженерная инфраструктура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5" w:name="_Toc251324993"/>
      <w:bookmarkStart w:id="16" w:name="_Toc254191242"/>
      <w:r w:rsidRPr="000C5C90">
        <w:rPr>
          <w:rFonts w:ascii="Arial" w:eastAsia="Times New Roman" w:hAnsi="Arial" w:cs="Arial"/>
          <w:sz w:val="24"/>
          <w:szCs w:val="24"/>
          <w:lang w:eastAsia="ru-RU"/>
        </w:rPr>
        <w:t>4.10.1. Электроснабжение</w:t>
      </w:r>
      <w:bookmarkEnd w:id="15"/>
      <w:bookmarkEnd w:id="16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cs="Arial"/>
          <w:sz w:val="26"/>
          <w:lang w:eastAsia="ru-RU"/>
        </w:rPr>
      </w:pPr>
      <w:r w:rsidRPr="000C5C90">
        <w:rPr>
          <w:rFonts w:cs="Arial"/>
          <w:sz w:val="26"/>
          <w:lang w:eastAsia="ru-RU"/>
        </w:rPr>
        <w:t xml:space="preserve">Электроснабжение потребителей Залиманского сельского поселения Богучарского района осуществляется от энергосистемы «Воронежэнерго». Основным источником электроснабжения на данный момент является существующая НВАЭС, находящаяся вблизи города Нововоронеж. Источникам электроснабжения является ПС 110/35/10 кВ, которая находится за границами проектирования поселения в г.Богучар.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cs="Arial"/>
          <w:sz w:val="26"/>
          <w:lang w:eastAsia="ru-RU"/>
        </w:rPr>
      </w:pPr>
      <w:r w:rsidRPr="000C5C90">
        <w:rPr>
          <w:rFonts w:cs="Arial"/>
          <w:sz w:val="26"/>
          <w:lang w:eastAsia="ru-RU"/>
        </w:rPr>
        <w:t xml:space="preserve">Проектом предлагается строительство трансформаторных подстанций для обеспечения электроснабжением потребителей индивидуальной застройки и для обеспечения электроснабжением производственных зон. Проектируемые трансформаторные подстанции необходимо запитать от существующих ПС 110/35/10 кВ через линии электропередач на напряжение 10 кВ в воздушном и кабельном. Необходимо выполнить реконструкцию существующих трансформаторных подстанций и подводящих сетей электроснабжения 10/0,4 кВ. Прирост потребления электроэнергии составит более 60% на расчетный срок. Основной прирост составляют производственные потребители.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  <w:bookmarkStart w:id="17" w:name="_Toc254191243"/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>4.10.2. Теплоснабжение</w:t>
      </w:r>
      <w:bookmarkEnd w:id="17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Теплоснабжение коммунально-бытовых и промышленных потребителей Залиманского сельского поселения является локальным и осуществляется за счет встроенных индивидуальных котельных малой и средней мощности и за счет печного или электрического отопления. Используемое топливо – природный и сжиженный газ, дрова, уголь. Горячее водоснабжение для производственных, культурно-бытовых, жилых зданий предусматривается от местных водонагревателей. Расчетная температура наиболее холодной пятидневки для проектирования систем отопления принята -26</w:t>
      </w:r>
      <w:r w:rsidRPr="000C5C90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0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>С. Продолжительность отопительного периода – 196 суток.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Данным проектом предлагается реконструировать котельные и установить комбинированные котлы, использующие в качестве основного топлива природный газ, в качестве резервного – мазут, уголь. Необходимо обеспечить теплоснабжением новых потребителей путем строительства локальных газовых котельных. А также перевод котельных на природный газ в с.Грушовое Залиманского поселения после осуществления в селе программы по газификации.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  <w:bookmarkStart w:id="18" w:name="_Toc254191244"/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>4.10.3. Газоснабжение</w:t>
      </w:r>
      <w:bookmarkEnd w:id="18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Основной источник газа – магистральный газопровод Петровск-Новопсковск, условный диаметр трубопровода 1200мм. В соответствии с постановлением Правительства Воронежской области от 2 октября 2009г. № 840, областная целевая программа «Газификация Воронежской области на 2010 – 2015годы» позволяет получить высокий социальный эффект за счет существенного улучшения качества жизни населения в сельской местности.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Источником газоснабжения Залиманского сельского поселения является природный газ, поступающий по ответвлению от Богучарской ГРС на газорегуляторные пункты. В с.Залиман и с.Галиевка расположены газораспределительные пункты высокого давления. По территории проходит транзитом магистральный газопровод. Потребителей новой индивидуальной, малоэтажной и производственной застройки необходимо обеспечить газоснабжением от проектируемых ШРП, которые буду запитаны через газопроводы среднего давления. Проектом предлагается газификация с.Грушовое. Проектом предлагается строительство ГРП, газопроводов высокого и низкого давления в с.Грушовое. Отсутствие природного газа препятствует повышению уровня жизни населения и приводит к значительному перерасходу электроэнергии.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Для поддержания энергосберегающей политики РФ, настоящим проектом предлагается использовать альтернативные источники энергии. Одним из наиболее перспективных и легко возобновляемых в сельских условиях ресурсов является – биогаз. Данное топливо относится к горючим вторичным энергоресурсам и образуется при анаэробной переработке различных биологических веществ и отходов.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Использование биогаза возможно: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в качестве бензина и дизельного топлива для сельскохозяйственной техники.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-в качестве основного топлива для обеспечения потребителей теплоснабжением, горячей водой и газом для пищеприготовления. </w:t>
      </w:r>
      <w:bookmarkStart w:id="19" w:name="_Toc251324996"/>
      <w:bookmarkStart w:id="20" w:name="_Toc254191245"/>
    </w:p>
    <w:p w:rsidR="000C5C90" w:rsidRPr="000C5C90" w:rsidRDefault="000C5C90" w:rsidP="000C5C90">
      <w:pPr>
        <w:spacing w:after="0" w:line="240" w:lineRule="auto"/>
        <w:ind w:firstLine="709"/>
        <w:jc w:val="both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>4.10.4. Связь</w:t>
      </w:r>
      <w:bookmarkEnd w:id="19"/>
      <w:bookmarkEnd w:id="20"/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cs="Arial"/>
          <w:sz w:val="24"/>
          <w:szCs w:val="24"/>
          <w:lang w:eastAsia="ru-RU"/>
        </w:rPr>
      </w:pPr>
      <w:r w:rsidRPr="000C5C90">
        <w:rPr>
          <w:rFonts w:cs="Arial"/>
          <w:sz w:val="26"/>
          <w:lang w:eastAsia="ru-RU"/>
        </w:rPr>
        <w:t xml:space="preserve">Абоненты Залиманского сельского поселения обеспечены телефонной сетью на 80%. Распределительная сеть построена по шкафной системе с элементами прямого питания. В с. Залиман и в х.Галиевка расположены АТС. В с.Грушовое телефонная связь проведена от АТС х.Галиевка и подключена к таксофону. Магистральные волоконно-оптические и медно-жилистые линии проходят от п.Кантемировка через г. Богучар и до с. Петропавловка. Потребители Залиманского сельского поселения полностью охвачены радиотрансляционной и телевизионной сетью.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cs="Arial"/>
          <w:sz w:val="26"/>
          <w:lang w:eastAsia="ru-RU"/>
        </w:rPr>
      </w:pPr>
      <w:r w:rsidRPr="000C5C90">
        <w:rPr>
          <w:rFonts w:cs="Arial"/>
          <w:sz w:val="26"/>
          <w:lang w:eastAsia="ru-RU"/>
        </w:rPr>
        <w:t>Основным направлением развития сетей фиксированной связи является комбинированный путь модернизации, то есть постепенный переход от существующих традиционных сетей с технологией коммутации каналов к мультисервисным сетям с технологией коммутации пакетов. Предполагается создание единой сети связи. Для этого предусматривается техническое перевооружение телефонных станций с внедрением современного цифрового коммутационного оборудования на сети. При проектировании межстанционных связей необходимо предусмотреть использование волоконной сети.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4.10.5. Водоснабжение</w:t>
      </w:r>
    </w:p>
    <w:p w:rsidR="000C5C90" w:rsidRPr="000C5C90" w:rsidRDefault="000C5C90" w:rsidP="000C5C9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Для бесперебойного водоснабжения потребителей необходимо проведение гидрогеологической разведки запасов подземных вод.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На водозаборных сооружениях предусматривается установка</w:t>
      </w:r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>станций обезжелезивания, станций обеззараживания воды ультрафиолетом.</w:t>
      </w:r>
    </w:p>
    <w:p w:rsidR="000C5C90" w:rsidRPr="000C5C90" w:rsidRDefault="000C5C90" w:rsidP="000C5C9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Для устранения потерь воды в сетях водоснабжения необходима их реконструкция. Дальнейшее развитие получит строительство уличных сетей водопровода в новых микрорайонах.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Сельские населенные пункты и проектируемые производственные предприятия, расположенные на территории Залиманского сельского поселения, могут снабжаться водой от новых и реконструируемых локальных источников.</w:t>
      </w:r>
    </w:p>
    <w:p w:rsidR="000C5C90" w:rsidRPr="000C5C90" w:rsidRDefault="000C5C90" w:rsidP="000C5C90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4.10.6. Водоотведение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На территории с. Залиман предусматривается организация раздельной системы канализации с подачей сточных вод на очистные сооружения г.Богучар. Сточные воды производственных объектов перед поступлением в сеть хозяйственно - бытовой канализации подлежат очистке на локальных очистных сооружениях.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В остальных населенных пунктах Залиманского сельского поселения, где намечается децентрализованная схема канализации, предусматривается использование локальных систем очистки.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4.10.7. Отходы производства и потребления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Отходы от Залиманского сельского поселения будут собираться и временно накапливаться на проектируемых контейнерных площадках (до 2013г.) в сельских населенных пунктах. Вывоз отходов с площадок намечается осуществлять на комплексный муниципальный полигон ТКО у г. Богучар (2014г.) для их переработки и захоронения балластных фракций. Уничтожение биологических отходов должно производиться в скотомогильнике, оснащенном биокамерой (2015г.), размещен в районе поселковой свалки. На основании положений комплексной схемы обращения с отходами на территории Воронежской области (утверждена приказом департамента природных ресурсов и экологии ВО от 20.02.2014 №49) администрацией Богучарского муниципального района на территории Залиманского сельского поселения выделен земельный участок 6,9 га с целью размещения межмуниципального отходоперерабатывающего комплекса (МОК), который будет включать в себя еще и Бутурлиновский, Павловский и Таловский муниципальные районы. Данная площадка располагается на землях сельскохозяйственного назначения.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4.11. Мероприятия по защите от опасных природных и техногенных процессов, благоустройство территории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Настоящим проектом предусмотрены мероприятия:</w:t>
      </w:r>
    </w:p>
    <w:p w:rsidR="000C5C90" w:rsidRPr="000C5C90" w:rsidRDefault="000C5C90" w:rsidP="000C5C90">
      <w:pPr>
        <w:tabs>
          <w:tab w:val="left" w:pos="7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1. По защите от овражной эрозии</w:t>
      </w:r>
    </w:p>
    <w:p w:rsidR="000C5C90" w:rsidRPr="000C5C90" w:rsidRDefault="000C5C90" w:rsidP="000C5C90">
      <w:pPr>
        <w:tabs>
          <w:tab w:val="left" w:pos="7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 -организация поверхностного стока с прилегающих территорий в обход оврагов, </w:t>
      </w:r>
    </w:p>
    <w:p w:rsidR="000C5C90" w:rsidRPr="000C5C90" w:rsidRDefault="000C5C90" w:rsidP="000C5C90">
      <w:pPr>
        <w:tabs>
          <w:tab w:val="left" w:pos="7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 -устройство водоотводных лотков, быстротоков, перепадов по тальвегам;</w:t>
      </w:r>
    </w:p>
    <w:p w:rsidR="000C5C90" w:rsidRPr="000C5C90" w:rsidRDefault="000C5C90" w:rsidP="000C5C90">
      <w:pPr>
        <w:tabs>
          <w:tab w:val="left" w:pos="7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 -засыпка крутых верховых участков, укрепление посевом трав для предотвращения роста оврагов;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-залужение перелогов и залежей на территориях, прилегающих к оврагам;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2. По организации поверхностного стока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устройство вдоль дорог и понижений рельефа открытых водостоков,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-устройство водопропускных труб или мостиков в местах пересечений водостоков с проездами,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-очистка поверхностных стоков с застроенных территорий на локальных очистных сооружениях открытого или закрытого типа,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3. По защите от затопления паводковыми водами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-проведение изысканий для определения расчетных уровней затопления и границ зон затопления,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-в зоне возможного затопления строительство домов на подсыпке или на высоком цоколе,</w:t>
      </w:r>
    </w:p>
    <w:p w:rsidR="000C5C90" w:rsidRPr="000C5C90" w:rsidRDefault="000C5C90" w:rsidP="000C5C90">
      <w:pPr>
        <w:tabs>
          <w:tab w:val="left" w:pos="5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-благоустройство территории зоны кратковременного отдыха, расположенной на берегу р.Дон, включая береговую полосу.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4. Благоустройство водоемов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-расчистка и спрофилирование русел водотоков, протекающих по территориям населенных пунктов и служащих приемниками поверхностных стоков, благоустройство берегов,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 дноуглубление и благоустройство берегов водоемов в проектируемом парке с. Залиман.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4. Рекультивация нарушенных территорий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-на территориях ликвидируемых скотомогильников и несанкционированных свалок с восстановлением растительного слоя и озеленения.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4.12. Оздоровление окружающей среды</w:t>
      </w:r>
    </w:p>
    <w:p w:rsidR="000C5C90" w:rsidRPr="000C5C90" w:rsidRDefault="000C5C90" w:rsidP="000C5C90">
      <w:pPr>
        <w:tabs>
          <w:tab w:val="left" w:pos="9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1.Проектом намечены мероприятия по восстановлению и дальнейшему развитию сфер жизнеобеспечения населения: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-производственной сферы – формирование компактных производственных зон во всех населённых пунктах с размещением сельскохозяйственных предприятий молочного животноводства и растениеводства для обеспечения кормовой базы, а также первичной переработки сельхозпродукции (см.таблицу);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-социальной сферы – строительство новой жилой и общественной застройки, формирование рекреационной зоны и благоустройство территорий общего пользования, размещение объектов туристической деятельности в селе Залиман вдоль реки Богучарки, на высоком берегу реки Дон в х.Галиёвка и с.Грушовое, строительство велосипедной дорожки в окрестностях села Залиман.</w:t>
      </w:r>
    </w:p>
    <w:p w:rsidR="000C5C90" w:rsidRPr="000C5C90" w:rsidRDefault="000C5C90" w:rsidP="000C5C90">
      <w:pPr>
        <w:tabs>
          <w:tab w:val="left" w:pos="9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-объектов инженерной инфраструктуры – полная газификация села Грушовое, строительство локальных отопительных котельных в новой жилой и общественной застройке, организация централизованной системы водоснабжения и локальных очистных сооружений для очистки хозяйственно-бытовых стоков, рекультивация свалки и организация нового скотомогильника;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-транспортной сети – дальнейшее строительство федеральной автодороги Луганск-Саратов с устройством капитального моста через реку Дон южнее хутора Галиёвка.</w:t>
      </w:r>
    </w:p>
    <w:p w:rsidR="000C5C90" w:rsidRPr="000C5C90" w:rsidRDefault="000C5C90" w:rsidP="000C5C90">
      <w:pPr>
        <w:tabs>
          <w:tab w:val="left" w:pos="9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pacing w:val="20"/>
          <w:sz w:val="24"/>
          <w:szCs w:val="24"/>
          <w:lang w:eastAsia="ru-RU"/>
        </w:rPr>
        <w:t>2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>.Проектом предусматривается формирование природного и средозащитного каркаса:</w:t>
      </w:r>
    </w:p>
    <w:p w:rsidR="000C5C90" w:rsidRPr="000C5C90" w:rsidRDefault="000C5C90" w:rsidP="000C5C90">
      <w:pPr>
        <w:tabs>
          <w:tab w:val="left" w:pos="9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-развитие открытых озелененных пространств на территории поселения, пригодных для рекреационного освоения, в том числе на берегах реки Дон и Богучарка;</w:t>
      </w:r>
    </w:p>
    <w:p w:rsidR="000C5C90" w:rsidRPr="000C5C90" w:rsidRDefault="000C5C90" w:rsidP="000C5C90">
      <w:pPr>
        <w:tabs>
          <w:tab w:val="left" w:pos="9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-сохранение и благоустройство природоохранных территорий - земель лесного фонда, в том числе государственных лесных полос, водоохранных зон водных объектов, полезащитных лесных полос;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-расширение и благоустройство системы зелёных насаждений общего пользования южнее села Залиман между существующей и проектируемой застройкой.</w:t>
      </w:r>
    </w:p>
    <w:p w:rsidR="000C5C90" w:rsidRPr="000C5C90" w:rsidRDefault="000C5C90" w:rsidP="000C5C90">
      <w:pPr>
        <w:tabs>
          <w:tab w:val="left" w:pos="9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pacing w:val="20"/>
          <w:sz w:val="24"/>
          <w:szCs w:val="24"/>
          <w:lang w:eastAsia="ru-RU"/>
        </w:rPr>
        <w:t>3.</w:t>
      </w:r>
      <w:r w:rsidRPr="000C5C90">
        <w:rPr>
          <w:rFonts w:ascii="Arial" w:eastAsia="Times New Roman" w:hAnsi="Arial" w:cs="Arial"/>
          <w:sz w:val="24"/>
          <w:szCs w:val="24"/>
          <w:lang w:eastAsia="ru-RU"/>
        </w:rPr>
        <w:t xml:space="preserve">Для улучшения качества почв и увеличения площадей сельскохозяйственных угодий необходимо проведение мероприятий: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-по восстановлению утраченных пахотных земель и увеличению площади выпасов и сохранению и повышению плодородия почв за счёт проведения агротехнических мероприятий.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4.13. Предложения по формированию строительных программ 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Перечень объектов, рекомендуемых к строительству в Залиманском сельском поселении в период расчетного срока генерального плана (2009-2030гг.)</w:t>
      </w:r>
    </w:p>
    <w:tbl>
      <w:tblPr>
        <w:tblW w:w="955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3301"/>
        <w:gridCol w:w="2357"/>
        <w:gridCol w:w="2885"/>
      </w:tblGrid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объектов и сооружений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Параметры объектов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Примечание (размещается)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очередь строительства (2009-2015гг)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Жилищное строительство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Индивидуальная застройка (с приусадебными участками)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14,5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 -13,0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Галиевка- 1,5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Объекты социального и культурно-бытового назначения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Детское дошкольное учреждение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 объекта: 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Залиман -90 мест; 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Галиевка-25 мест. 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Общеобразовательная школа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объект на 350 мест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ФАПов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ФАПов с увеличением их посещаемости (на 20 посещ./смену), организация при ФАПах аптечных пунктов общей площадью </w:t>
            </w:r>
            <w:smartTag w:uri="urn:schemas-microsoft-com:office:smarttags" w:element="metricconverter">
              <w:smartTagPr>
                <w:attr w:name="ProductID" w:val="35 м2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35 м</w:t>
              </w:r>
              <w:r w:rsidRPr="000C5C90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раздаточных пунктов молочной кухни общей площадью </w:t>
            </w:r>
            <w:smartTag w:uri="urn:schemas-microsoft-com:office:smarttags" w:element="metricconverter">
              <w:smartTagPr>
                <w:attr w:name="ProductID" w:val="33 м2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33 м</w:t>
              </w:r>
              <w:r w:rsidRPr="000C5C90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Галиевка 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Торгово-бытовой центр (начало строительства), включающий: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 объект 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магазины непродовольственных товаров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100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бытового обслуживания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 раб.мест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филиал Сбербанка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5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35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общ.пл.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Предприятие общественного питания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объекта на 60 мест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 -20мест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Галиевка-20мест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Грушовое-20мест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Магазины продовольственных товаров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3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130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Залиман </w:t>
            </w:r>
            <w:smartTag w:uri="urn:schemas-microsoft-com:office:smarttags" w:element="metricconverter">
              <w:smartTagPr>
                <w:attr w:name="ProductID" w:val="-7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-</w:t>
              </w:r>
              <w:smartTag w:uri="urn:schemas-microsoft-com:office:smarttags" w:element="metricconverter">
                <w:smartTagPr>
                  <w:attr w:name="ProductID" w:val="70 м²"/>
                </w:smartTagPr>
                <w:r w:rsidRPr="000C5C90">
                  <w:rPr>
                    <w:rFonts w:ascii="Arial" w:eastAsia="Times New Roman" w:hAnsi="Arial" w:cs="Arial"/>
                    <w:sz w:val="24"/>
                    <w:szCs w:val="24"/>
                    <w:lang w:eastAsia="ru-RU"/>
                  </w:rPr>
                  <w:t>70 м²</w:t>
                </w:r>
              </w:smartTag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</w:t>
            </w:r>
            <w:smartTag w:uri="urn:schemas-microsoft-com:office:smarttags" w:element="metricconverter">
              <w:smartTagPr>
                <w:attr w:name="ProductID" w:val="3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</w:t>
            </w:r>
            <w:smartTag w:uri="urn:schemas-microsoft-com:office:smarttags" w:element="metricconverter">
              <w:smartTagPr>
                <w:attr w:name="ProductID" w:val="3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Магазины непродовольственных товаров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8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80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</w:t>
            </w:r>
            <w:smartTag w:uri="urn:schemas-microsoft-com:office:smarttags" w:element="metricconverter">
              <w:smartTagPr>
                <w:attr w:name="ProductID" w:val="6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60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</w:t>
            </w:r>
            <w:smartTag w:uri="urn:schemas-microsoft-com:office:smarttags" w:element="metricconverter">
              <w:smartTagPr>
                <w:attr w:name="ProductID" w:val="2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Баня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помыв. мест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существующего здания в 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Дорожно-транспортное строительство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Строительство улично-дорожной сети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6,3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6,3 км</w:t>
              </w:r>
            </w:smartTag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См.«Схему с отображением зон планируемого размещения объектов капитального строительства..»(основной чертеж) и «Схему транспорта»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улично-дорожной сети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,6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2,6 км</w:t>
              </w:r>
            </w:smartTag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Инженерная инфраструктура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Водоснабжение и водоотведение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Скважинный водозабор хоз-питьевого водоснабжения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530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См. Схему планируемого размещения объектов инженерной инфраструктуры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Уличные сети водоснабжения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4,93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14,93 км</w:t>
              </w:r>
            </w:smartTag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Водопроводные очистные сооружения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530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Локальные очистные сооружения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Общественные и административные здания-5шт.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См. Схему планируемого размещения объектов инженерной инфраструктуры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Уличные сети водоотведения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,53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10,53 км</w:t>
              </w:r>
            </w:smartTag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Электроснабжение, теплоснабжение, газоснабжение и связь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Газораспределительная сеть высокого давления.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,6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3,6 км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Газораспределительная сеть среднего давления.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4,0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4,0 км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Газораспределительная сеть низкого давления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9,16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9,16 км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 -3,16км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Галиевка- 1,0км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Грушовое-5,0км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Шкафный газорегуляторный пункт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объекта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 -2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Грушовое-1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Газораспределительный пункт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объект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Строительство трансформаторных подстанций (ТП)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 объектов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 -3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Галиевка- 1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Грушовое-1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Кабельные линии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,1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5,1 км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 -2км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Галиевка- 0,1км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Грушовое-2км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Локальная котельная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объекта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Связь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АТС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объект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Период строительства 2016-2030гг.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Жилищное строительство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Индивидуальная застройка (с приусадебными участками)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 -16,5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Галиевка- 6,5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Малоэтажная застройка (2-3эт.)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 -10,0 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Объекты социального и культурно-бытового назначения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Плоскостные спортивные площадки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3,0га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 -1,5 га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Галиевка- 1,5га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Физкультурно-оздоровительный комплекс с бассейном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2объекта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Залиман 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Магазины продовольственных товаров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5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150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 -70 м²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</w:t>
            </w:r>
            <w:smartTag w:uri="urn:schemas-microsoft-com:office:smarttags" w:element="metricconverter">
              <w:smartTagPr>
                <w:attr w:name="ProductID" w:val="5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50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Грушовое-</w:t>
            </w:r>
            <w:smartTag w:uri="urn:schemas-microsoft-com:office:smarttags" w:element="metricconverter">
              <w:smartTagPr>
                <w:attr w:name="ProductID" w:val="3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Магазины непродовольственных товаров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180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</w:t>
            </w:r>
            <w:smartTag w:uri="urn:schemas-microsoft-com:office:smarttags" w:element="metricconverter">
              <w:smartTagPr>
                <w:attr w:name="ProductID" w:val="14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140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Грушовое- </w:t>
            </w:r>
            <w:smartTag w:uri="urn:schemas-microsoft-com:office:smarttags" w:element="metricconverter">
              <w:smartTagPr>
                <w:attr w:name="ProductID" w:val="40 м²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40 м²</w:t>
              </w:r>
            </w:smartTag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торг.пл.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Предприятие общественного питания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объекта на 60 мест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Залиман -2х20мест</w:t>
            </w:r>
          </w:p>
        </w:tc>
      </w:tr>
      <w:tr w:rsidR="000C5C90" w:rsidRPr="000C5C90" w:rsidTr="000C5C90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Галиевка-20мест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Комплекс коммунально-бытового обслуживания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1объект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Залиман 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Туристско-гостиничный центр (гостиница на 30 мест, магазины, досуговый центр)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1объект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Залиман 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Дорожно-транспортное строительство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Строительство и реконструкция улично-дорожной сети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4,7км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См.«Схему с отображением зон планируемого размещения объектов капитального строительства..»(основной чертеж) и «Схему транспорта»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Автостанция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объекта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Залиман 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Автосервисный комплекс с АЗС и СТО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объект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Вблизи с. Залиман у трассы М4 «Дон»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Инженерная инфраструктура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Водоснабжение и водоотведение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Увеличение производительности скважинных водозаборов хозяйственно-питьевого водоснабжения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до570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См. Схему планируемого размещения объектов инженерной инфраструктуры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Водопроводные очистные сооружения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570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Уличные сети водоснабжения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6,36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6,36 км</w:t>
              </w:r>
            </w:smartTag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Локальные очистные сооружения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2объекта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См. Схему планируемого размещения объектов инженерной инфраструктуры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Уличные сети водоотведения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3,84км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Отходы производства и потребления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Строительство контейнерных площадок</w:t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См. Схему планируемого размещения объектов инженерной инфраструктуры</w:t>
            </w:r>
          </w:p>
        </w:tc>
      </w:tr>
      <w:tr w:rsidR="000C5C90" w:rsidRPr="000C5C90" w:rsidTr="000C5C90">
        <w:trPr>
          <w:jc w:val="right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Электроснабжение, теплоснабжение, газоснабжение и связь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Газораспределительная сеть среднего давления.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1,0 км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Газораспределительная сеть низкого давления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,3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2,3 км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 -0,7км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Галиевка- 1,6км</w:t>
            </w:r>
          </w:p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Шкафный газорегуляторный пункт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объект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Строительство трансформаторных подстанций (ТП)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объекта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Кабельные линии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0C5C9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 км</w:t>
              </w:r>
            </w:smartTag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Теплоснабжение</w:t>
            </w:r>
          </w:p>
        </w:tc>
      </w:tr>
      <w:tr w:rsidR="000C5C90" w:rsidRPr="000C5C90" w:rsidTr="000C5C90">
        <w:trPr>
          <w:jc w:val="right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Локальная котельная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объекта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4.14 Предложения по оптимизации административно-территориального устройства, в части перевода земель и земельных участков из одной категории в другую</w:t>
      </w:r>
    </w:p>
    <w:tbl>
      <w:tblPr>
        <w:tblW w:w="0" w:type="dxa"/>
        <w:jc w:val="right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2"/>
        <w:gridCol w:w="7517"/>
        <w:gridCol w:w="1701"/>
      </w:tblGrid>
      <w:tr w:rsidR="000C5C90" w:rsidRPr="000C5C90" w:rsidTr="000C5C90">
        <w:trPr>
          <w:jc w:val="righ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Этапы реализации</w:t>
            </w:r>
          </w:p>
        </w:tc>
      </w:tr>
      <w:tr w:rsidR="000C5C90" w:rsidRPr="000C5C90" w:rsidTr="000C5C90">
        <w:trPr>
          <w:trHeight w:val="166"/>
          <w:jc w:val="right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Перевод двух земельных участков общей площадью 37 га с кадастровыми номерами: 36:03:5300009:168 и 36:03:5200015:134 из земель сельскохозяйственного назначения в земли промышленности и иного специального назначения в порядке, установленном Федеральным законом от 21.12.2004 г. №172-ФЗ «О переводе земель или земельных участков из одной категории в другую», с целью развития предпринимательской деятельности и размещения логистических объектов и объектов придорожного сервиса.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0C5C90" w:rsidRPr="000C5C90" w:rsidTr="000C5C90">
        <w:trPr>
          <w:trHeight w:val="422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Перевод трех земельных участков общей площадью 10,7 га с кадастровыми номерами: 36:03:5200015:131, 36:03:5200015:182 и 36:03:5200015:180 из земель сельскохозяйственного назначения в земли промышленности и иного специального назначения в порядке, установленном Федеральным законом от 21.12.2004 г. №172-ФЗ «О переводе земель или земельных участков из одной категории в другую», с целью расширения завода растительных масел.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0C5C90" w:rsidRPr="000C5C90" w:rsidTr="000C5C90">
        <w:trPr>
          <w:trHeight w:val="450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Перевод земельного участка общей площадью 1,5 га с кадастровым номером 36:03:5200015:136 из земель сельскохозяйственного назначения в земли промышленности и иного специального назначения в порядке, установленном Федеральным законом от 21.12.2004 г. №172-ФЗ «О переводе земель или земельных участков из одной категории в другую», с целью строительства многофункционального комплекса АЗС.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0C5C90" w:rsidRPr="000C5C90" w:rsidTr="000C5C90">
        <w:trPr>
          <w:trHeight w:val="450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Перевод земельного участка общей площадью 25 га с кадастровым номером 36:03:5200015:185 из земель сельскохозяйственного назначения в земли обороны и безопасности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0C5C90" w:rsidRPr="000C5C90" w:rsidTr="000C5C90">
        <w:trPr>
          <w:trHeight w:val="450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Перевод 2х земельных участков общей площадью 29,2 га с кадастровыми номерами 36:03:5200015:188 и 36:03:5200015:171 из земель сельскохозяйственного назначения в земли обороны и безопасности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0C5C90" w:rsidRPr="000C5C90" w:rsidTr="000C5C90">
        <w:trPr>
          <w:trHeight w:val="450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Перевод земельного участка общей площадью 6,9 га, на котором планируется размещение межмуниципального отходоперерабатывающего комплекса (МОК), из земель сельскохозяйственного назначения в земли промышленности и иного специального назначения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90" w:rsidRPr="000C5C90" w:rsidRDefault="000C5C90" w:rsidP="000C5C9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Примечание: Освоение земельных участков, предлагаемых к переводу в земли промышленности и иного специального назначения осуществлять при условии соблюдения требований СанПиН 2.2.1/2.1.1.1200-03 «Санитарно-защитные зоны и санитарная классификация предприятий, сооружений и иных объектов».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5. Основные технико-экономические показатели</w:t>
      </w:r>
    </w:p>
    <w:tbl>
      <w:tblPr>
        <w:tblW w:w="0" w:type="dxa"/>
        <w:jc w:val="right"/>
        <w:tblLayout w:type="fixed"/>
        <w:tblLook w:val="04A0" w:firstRow="1" w:lastRow="0" w:firstColumn="1" w:lastColumn="0" w:noHBand="0" w:noVBand="1"/>
      </w:tblPr>
      <w:tblGrid>
        <w:gridCol w:w="1068"/>
        <w:gridCol w:w="2880"/>
        <w:gridCol w:w="1440"/>
        <w:gridCol w:w="1620"/>
        <w:gridCol w:w="1620"/>
        <w:gridCol w:w="1260"/>
      </w:tblGrid>
      <w:tr w:rsidR="000C5C90" w:rsidRPr="000C5C90" w:rsidTr="000C5C90">
        <w:trPr>
          <w:trHeight w:val="590"/>
          <w:tblHeader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Существующее положение (01.01.2008 г.)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Первая очередь строительства (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C5C90">
                <w:rPr>
                  <w:rFonts w:ascii="Arial" w:eastAsia="Times New Roman" w:hAnsi="Arial" w:cs="Arial"/>
                  <w:bCs/>
                  <w:sz w:val="24"/>
                  <w:szCs w:val="24"/>
                  <w:lang w:eastAsia="ru-RU"/>
                </w:rPr>
                <w:t>2015 г</w:t>
              </w:r>
            </w:smartTag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Расчетный срок 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0C5C90">
                <w:rPr>
                  <w:rFonts w:ascii="Arial" w:eastAsia="Times New Roman" w:hAnsi="Arial" w:cs="Arial"/>
                  <w:bCs/>
                  <w:sz w:val="24"/>
                  <w:szCs w:val="24"/>
                  <w:lang w:eastAsia="ru-RU"/>
                </w:rPr>
                <w:t>2030 г</w:t>
              </w:r>
            </w:smartTag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10"/>
          <w:jc w:val="right"/>
        </w:trPr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11136,0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11136,0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11136,0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 территории:</w:t>
            </w: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населенных пунктов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940,0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1049,0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665,0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156,0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234,0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234,0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общей площади земель сельского поселения территории: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жилых зон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394,0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6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малоэтажная многоквартирная застройка (2 эт.)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10,0</w:t>
            </w:r>
          </w:p>
        </w:tc>
      </w:tr>
      <w:tr w:rsidR="000C5C90" w:rsidRPr="000C5C90" w:rsidTr="000C5C90">
        <w:trPr>
          <w:trHeight w:val="557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381,3</w:t>
            </w:r>
          </w:p>
        </w:tc>
      </w:tr>
      <w:tr w:rsidR="000C5C90" w:rsidRPr="000C5C90" w:rsidTr="000C5C90">
        <w:trPr>
          <w:trHeight w:val="28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образования (школы, детсады)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2,7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общественно-деловых зон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производственных зон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116,9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 инженерной и транспортной инфраструктур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165,9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рекреационных территорий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1691,5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1730,0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1829,0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 сельскохозяйственного использования и назначения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8136,9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8095,0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7993,5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1.1.8.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 специального назначения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273,0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274,6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1.1.9.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водные пространства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53,6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1.1.10.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иных зон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285,5</w:t>
            </w:r>
          </w:p>
        </w:tc>
      </w:tr>
      <w:tr w:rsidR="000C5C90" w:rsidRPr="000C5C90" w:rsidTr="000C5C90">
        <w:trPr>
          <w:trHeight w:val="78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1.1.11.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общей площади земель сельского поселения территории общего пользования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зеленые насаждения общего пользования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152,5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улицы, дороги, проезды, площади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146,5</w:t>
            </w:r>
          </w:p>
        </w:tc>
      </w:tr>
      <w:tr w:rsidR="000C5C90" w:rsidRPr="000C5C90" w:rsidTr="000C5C90">
        <w:trPr>
          <w:trHeight w:val="154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1.1.12.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общей площади земель сельского поселения территории неиспользуемые, требующие специальных инженерных мероприятий (овраги, нарушенные территории и т.п.)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130,0</w:t>
            </w:r>
          </w:p>
        </w:tc>
      </w:tr>
      <w:tr w:rsidR="000C5C90" w:rsidRPr="000C5C90" w:rsidTr="000C5C90">
        <w:trPr>
          <w:trHeight w:val="78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1.1.13.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общей площади земель сельского поселения территории резерва для развития поселения,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жилой застройки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общественно-деловой застройки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производственных и коммунально-складских территорий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4,0</w:t>
            </w:r>
          </w:p>
        </w:tc>
      </w:tr>
      <w:tr w:rsidR="000C5C90" w:rsidRPr="000C5C90" w:rsidTr="000C5C90">
        <w:trPr>
          <w:trHeight w:val="79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территорий сельскохозяйственных предпритий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Из общего количества земель сельского поселения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земли федеральной собственности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989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земли субъекта Российской Федерации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135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земли муниципальной собственности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1585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1585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1561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земли частной собственности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7292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7292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8360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 населения сельского поселения – всего,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3,3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Показатели естественного движения населения/ в год: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убыль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Показатели миграции населения/в год: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убыль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Возрастная структура населения: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чел./%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3,4/100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3,3/100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3,3/100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ym w:font="Arial" w:char="F02D"/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 дети до 15 лет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0,6/16,6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0,6/17,0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0,6/18,0</w:t>
            </w:r>
          </w:p>
        </w:tc>
      </w:tr>
      <w:tr w:rsidR="000C5C90" w:rsidRPr="000C5C90" w:rsidTr="000C5C90">
        <w:trPr>
          <w:trHeight w:val="78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ym w:font="Arial" w:char="F02D"/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 население в трудоспособном возрасте (мужчины 16 - 59 лет, женщины 16 - 54 лет)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1,9/57,2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1,8/56,0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1,8/55,0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ym w:font="Arial" w:char="F02D"/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 население старше трудоспособного возраста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0,9/26,2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0,9/27,0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0,9/27,0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 занятого населения - всего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чел./%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1,4/100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1,5/100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1,7/100</w:t>
            </w:r>
          </w:p>
        </w:tc>
      </w:tr>
      <w:tr w:rsidR="000C5C90" w:rsidRPr="000C5C90" w:rsidTr="000C5C90">
        <w:trPr>
          <w:trHeight w:val="25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чел./% численности занятого населения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1,0/71,0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1,1/72,0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1,3/75,0</w:t>
            </w:r>
          </w:p>
        </w:tc>
      </w:tr>
      <w:tr w:rsidR="000C5C90" w:rsidRPr="000C5C90" w:rsidTr="000C5C90">
        <w:trPr>
          <w:trHeight w:val="25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производственной сфере</w:t>
            </w:r>
          </w:p>
        </w:tc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сельское и лесное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0,8/60,5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0,9/62,0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1,2/66,0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непроизводственной сфере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0,4/29,0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0,4/28,0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0,4/25,0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Жилищный фонд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5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Жилищный фонд – всего,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122,0</w:t>
            </w:r>
          </w:p>
        </w:tc>
      </w:tr>
      <w:tr w:rsidR="000C5C90" w:rsidRPr="000C5C90" w:rsidTr="000C5C90">
        <w:trPr>
          <w:trHeight w:val="228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21,0</w:t>
            </w:r>
          </w:p>
        </w:tc>
      </w:tr>
      <w:tr w:rsidR="000C5C90" w:rsidRPr="000C5C90" w:rsidTr="000C5C90">
        <w:trPr>
          <w:trHeight w:val="10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10,0</w:t>
            </w:r>
          </w:p>
        </w:tc>
      </w:tr>
      <w:tr w:rsidR="000C5C90" w:rsidRPr="000C5C90" w:rsidTr="000C5C90">
        <w:trPr>
          <w:trHeight w:val="1597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общего жилищного фонда: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общей площади квартир/% к общему объему жилищного фонда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частной собственности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76,6/100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90,5/100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122,0/100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общего жилищного фонда: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малоэтажных 2-этажных домах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10,0</w:t>
            </w:r>
          </w:p>
        </w:tc>
      </w:tr>
      <w:tr w:rsidR="000C5C90" w:rsidRPr="000C5C90" w:rsidTr="000C5C90">
        <w:trPr>
          <w:trHeight w:val="78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112,0</w:t>
            </w:r>
          </w:p>
        </w:tc>
      </w:tr>
      <w:tr w:rsidR="000C5C90" w:rsidRPr="000C5C90" w:rsidTr="000C5C90">
        <w:trPr>
          <w:trHeight w:val="1106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Убыль жилищного фонда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общей площади квартир/% к существующему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2,1</w:t>
            </w:r>
          </w:p>
        </w:tc>
      </w:tr>
      <w:tr w:rsidR="000C5C90" w:rsidRPr="000C5C90" w:rsidTr="000C5C90">
        <w:trPr>
          <w:trHeight w:val="743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89,0</w:t>
            </w:r>
          </w:p>
        </w:tc>
      </w:tr>
      <w:tr w:rsidR="000C5C90" w:rsidRPr="000C5C90" w:rsidTr="000C5C90">
        <w:trPr>
          <w:trHeight w:val="509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жилищное строительство – всего,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47,5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39,5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общего объема нового жилищного строительства: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общей площади квартир/%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 счет средств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47,5</w:t>
            </w:r>
          </w:p>
        </w:tc>
      </w:tr>
      <w:tr w:rsidR="000C5C90" w:rsidRPr="000C5C90" w:rsidTr="000C5C90">
        <w:trPr>
          <w:trHeight w:val="51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Структура нового жилищного строительства по этажности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87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398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Малоэтажная 2-этажная застройка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10,0</w:t>
            </w:r>
          </w:p>
        </w:tc>
      </w:tr>
      <w:tr w:rsidR="000C5C90" w:rsidRPr="000C5C90" w:rsidTr="000C5C90">
        <w:trPr>
          <w:trHeight w:val="55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Индивидуальная жилая застройка с приусадебными земельными участками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40424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 жилищная обеспеченность населения общей площадью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/чел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35,0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Обеспеченность жилищного фонда: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617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водопроводом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 общего жилищного фонда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93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канализацией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93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отоплением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газом (природным)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</w:tr>
      <w:tr w:rsidR="000C5C90" w:rsidRPr="000C5C90" w:rsidTr="000C5C90">
        <w:trPr>
          <w:trHeight w:val="19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горячей водой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Детские дошкольные учреждения - всего/1000 чел.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115/35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115/35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Общеобразовательные школы - всего/1000 чел.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135/39,7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300/91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300/91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Амбулаторные учреждения - всего/1000 чел.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посещений в смену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40/12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60/18,5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60/18,5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Транспортная инфраструктура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протяженность уличной сети – всего,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58,6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29,4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19,7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9,5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 с усовершенствованным покрытием – всего, из них: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58,6</w:t>
            </w:r>
          </w:p>
        </w:tc>
      </w:tr>
      <w:tr w:rsidR="000C5C90" w:rsidRPr="000C5C90" w:rsidTr="000C5C90">
        <w:trPr>
          <w:trHeight w:val="162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29,4</w:t>
            </w:r>
          </w:p>
        </w:tc>
      </w:tr>
      <w:tr w:rsidR="000C5C90" w:rsidRPr="000C5C90" w:rsidTr="000C5C90">
        <w:trPr>
          <w:trHeight w:val="103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19,7</w:t>
            </w:r>
          </w:p>
        </w:tc>
      </w:tr>
      <w:tr w:rsidR="000C5C90" w:rsidRPr="000C5C90" w:rsidTr="000C5C90">
        <w:trPr>
          <w:trHeight w:val="198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9,5</w:t>
            </w:r>
          </w:p>
        </w:tc>
      </w:tr>
      <w:tr w:rsidR="000C5C90" w:rsidRPr="000C5C90" w:rsidTr="000C5C90">
        <w:trPr>
          <w:trHeight w:val="78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общей протяженности улиц улицы, не удовлетворяющие пропускной способности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</w:tr>
      <w:tr w:rsidR="000C5C90" w:rsidRPr="000C5C90" w:rsidTr="000C5C90">
        <w:trPr>
          <w:trHeight w:val="78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Обеспеченность населения индивидуальными легковыми автомобилями (на 1000 жителей)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автомобилей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Инженерная инфраструктура и благоустройство территории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33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Водопотребление - всего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691.98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762.02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хозяйственно-питьевые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389.60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427.90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производственные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98.42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98.42</w:t>
            </w:r>
          </w:p>
        </w:tc>
      </w:tr>
      <w:tr w:rsidR="000C5C90" w:rsidRPr="000C5C90" w:rsidTr="000C5C90">
        <w:trPr>
          <w:trHeight w:val="58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Производительность водозаборных сооружений,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530.00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 водозаборов подземных вод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530.00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Среднесуточное водопотребление на 1 чел.,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л/сут на 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 на хозяйственно-питьевые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22.7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29.03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Общее поступление сточных вод – всего,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472.97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573.86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хозяйственно-бытовые сточные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366.10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413.65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производственные сточные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88.57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88.57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Производительность очистных сооружений канализации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13.13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Энергоснабжение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Потребность в электроэнергии – всего,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млн. кВт·ч/год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54,24</w:t>
            </w:r>
          </w:p>
        </w:tc>
      </w:tr>
      <w:tr w:rsidR="000C5C90" w:rsidRPr="000C5C90" w:rsidTr="000C5C90">
        <w:trPr>
          <w:trHeight w:val="113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15,08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26,63</w:t>
            </w:r>
          </w:p>
        </w:tc>
      </w:tr>
      <w:tr w:rsidR="000C5C90" w:rsidRPr="000C5C90" w:rsidTr="000C5C90">
        <w:trPr>
          <w:trHeight w:val="152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13,52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15,74</w:t>
            </w:r>
          </w:p>
        </w:tc>
      </w:tr>
      <w:tr w:rsidR="000C5C90" w:rsidRPr="000C5C90" w:rsidTr="000C5C90">
        <w:trPr>
          <w:trHeight w:val="79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7,23</w:t>
            </w:r>
          </w:p>
        </w:tc>
      </w:tr>
      <w:tr w:rsidR="000C5C90" w:rsidRPr="000C5C90" w:rsidTr="000C5C90">
        <w:trPr>
          <w:trHeight w:val="78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158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производственные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23,17</w:t>
            </w:r>
          </w:p>
        </w:tc>
      </w:tr>
      <w:tr w:rsidR="000C5C90" w:rsidRPr="000C5C90" w:rsidTr="000C5C90">
        <w:trPr>
          <w:trHeight w:val="11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15,02</w:t>
            </w:r>
          </w:p>
        </w:tc>
      </w:tr>
      <w:tr w:rsidR="000C5C90" w:rsidRPr="000C5C90" w:rsidTr="000C5C90">
        <w:trPr>
          <w:trHeight w:val="176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4,51</w:t>
            </w:r>
          </w:p>
        </w:tc>
      </w:tr>
      <w:tr w:rsidR="000C5C90" w:rsidRPr="000C5C90" w:rsidTr="000C5C90">
        <w:trPr>
          <w:trHeight w:val="176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М4 «Дон»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7,23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коммунально-бытовые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123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с.Залиман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3,13</w:t>
            </w:r>
          </w:p>
        </w:tc>
      </w:tr>
      <w:tr w:rsidR="000C5C90" w:rsidRPr="000C5C90" w:rsidTr="000C5C90">
        <w:trPr>
          <w:trHeight w:val="176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0,71</w:t>
            </w:r>
          </w:p>
        </w:tc>
      </w:tr>
      <w:tr w:rsidR="000C5C90" w:rsidRPr="000C5C90" w:rsidTr="000C5C90">
        <w:trPr>
          <w:trHeight w:val="131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0,14</w:t>
            </w:r>
          </w:p>
        </w:tc>
      </w:tr>
      <w:tr w:rsidR="000C5C90" w:rsidRPr="000C5C90" w:rsidTr="000C5C90">
        <w:trPr>
          <w:trHeight w:val="78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Потребление электроэнергии на 1 чел. в год, в том числе на коммунально-бытовые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кВт·ч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950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Источники покрытия электронагрузок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МВт</w:t>
            </w: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ПС 110/35/10 кВ в г. Богучар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Потребление тепла,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Гкал/год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77,97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105,37</w:t>
            </w:r>
          </w:p>
        </w:tc>
      </w:tr>
      <w:tr w:rsidR="000C5C90" w:rsidRPr="000C5C90" w:rsidTr="000C5C90">
        <w:trPr>
          <w:trHeight w:val="243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22,76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35,57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54,19</w:t>
            </w:r>
          </w:p>
        </w:tc>
      </w:tr>
      <w:tr w:rsidR="000C5C90" w:rsidRPr="000C5C90" w:rsidTr="000C5C90">
        <w:trPr>
          <w:trHeight w:val="158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19,45</w:t>
            </w:r>
          </w:p>
        </w:tc>
      </w:tr>
      <w:tr w:rsidR="000C5C90" w:rsidRPr="000C5C90" w:rsidTr="000C5C90">
        <w:trPr>
          <w:trHeight w:val="8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25,63</w:t>
            </w:r>
          </w:p>
        </w:tc>
      </w:tr>
      <w:tr w:rsidR="000C5C90" w:rsidRPr="000C5C90" w:rsidTr="000C5C90">
        <w:trPr>
          <w:trHeight w:val="8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М4 «Дон»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6,1</w:t>
            </w:r>
          </w:p>
        </w:tc>
      </w:tr>
      <w:tr w:rsidR="000C5C90" w:rsidRPr="000C5C90" w:rsidTr="000C5C90">
        <w:trPr>
          <w:trHeight w:val="159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коммунально-бытовые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109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20,88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25,37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34,64</w:t>
            </w:r>
          </w:p>
        </w:tc>
      </w:tr>
      <w:tr w:rsidR="000C5C90" w:rsidRPr="000C5C90" w:rsidTr="000C5C90">
        <w:trPr>
          <w:trHeight w:val="216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6,77</w:t>
            </w:r>
          </w:p>
        </w:tc>
      </w:tr>
      <w:tr w:rsidR="000C5C90" w:rsidRPr="000C5C90" w:rsidTr="000C5C90">
        <w:trPr>
          <w:trHeight w:val="130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18,68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21,83</w:t>
            </w:r>
          </w:p>
        </w:tc>
      </w:tr>
      <w:tr w:rsidR="000C5C90" w:rsidRPr="000C5C90" w:rsidTr="000C5C90">
        <w:trPr>
          <w:trHeight w:val="13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М4 «Дон»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6,1</w:t>
            </w:r>
          </w:p>
        </w:tc>
      </w:tr>
      <w:tr w:rsidR="000C5C90" w:rsidRPr="000C5C90" w:rsidTr="000C5C90">
        <w:trPr>
          <w:trHeight w:val="920"/>
          <w:jc w:val="right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Производительность централизованных источников теплоснабжения, в том числе ТЭЦ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Система теплоснабжения - децентрализованная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455"/>
          <w:jc w:val="right"/>
        </w:trPr>
        <w:tc>
          <w:tcPr>
            <w:tcW w:w="106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6.5.1.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Потребление газа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млн. м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/тыс. тонн/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8,35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11,66</w:t>
            </w:r>
          </w:p>
        </w:tc>
      </w:tr>
      <w:tr w:rsidR="000C5C90" w:rsidRPr="000C5C90" w:rsidTr="000C5C90">
        <w:trPr>
          <w:trHeight w:val="203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7,32</w:t>
            </w:r>
          </w:p>
        </w:tc>
      </w:tr>
      <w:tr w:rsidR="000C5C90" w:rsidRPr="000C5C90" w:rsidTr="000C5C90">
        <w:trPr>
          <w:trHeight w:val="132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2,19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2,63</w:t>
            </w:r>
          </w:p>
        </w:tc>
      </w:tr>
      <w:tr w:rsidR="000C5C90" w:rsidRPr="000C5C90" w:rsidTr="000C5C90">
        <w:trPr>
          <w:trHeight w:val="73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0,89</w:t>
            </w:r>
          </w:p>
        </w:tc>
      </w:tr>
      <w:tr w:rsidR="000C5C90" w:rsidRPr="000C5C90" w:rsidTr="000C5C90">
        <w:trPr>
          <w:trHeight w:val="73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М4 «Дон»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0,82</w:t>
            </w:r>
          </w:p>
        </w:tc>
      </w:tr>
      <w:tr w:rsidR="000C5C90" w:rsidRPr="000C5C90" w:rsidTr="000C5C90">
        <w:trPr>
          <w:trHeight w:val="182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коммунально-бытовые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120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4,68</w:t>
            </w:r>
          </w:p>
        </w:tc>
      </w:tr>
      <w:tr w:rsidR="000C5C90" w:rsidRPr="000C5C90" w:rsidTr="000C5C90">
        <w:trPr>
          <w:trHeight w:val="120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0,91</w:t>
            </w:r>
          </w:p>
        </w:tc>
      </w:tr>
      <w:tr w:rsidR="000C5C90" w:rsidRPr="000C5C90" w:rsidTr="000C5C90">
        <w:trPr>
          <w:trHeight w:val="213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038</w:t>
            </w:r>
          </w:p>
        </w:tc>
      </w:tr>
      <w:tr w:rsidR="000C5C90" w:rsidRPr="000C5C90" w:rsidTr="000C5C90">
        <w:trPr>
          <w:trHeight w:val="114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производственные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02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с.Залиман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2,64</w:t>
            </w:r>
          </w:p>
        </w:tc>
      </w:tr>
      <w:tr w:rsidR="000C5C90" w:rsidRPr="000C5C90" w:rsidTr="000C5C90">
        <w:trPr>
          <w:trHeight w:val="130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Галиевка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1,71</w:t>
            </w:r>
          </w:p>
        </w:tc>
      </w:tr>
      <w:tr w:rsidR="000C5C90" w:rsidRPr="000C5C90" w:rsidTr="000C5C90">
        <w:trPr>
          <w:trHeight w:val="72"/>
          <w:jc w:val="right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Грушовое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0,51</w:t>
            </w:r>
          </w:p>
        </w:tc>
      </w:tr>
      <w:tr w:rsidR="000C5C90" w:rsidRPr="000C5C90" w:rsidTr="000C5C90">
        <w:trPr>
          <w:trHeight w:val="72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М4 «Дон»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0,82</w:t>
            </w: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6.5.2.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Источники подачи газа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4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АГРС г. Богучар</w:t>
            </w:r>
          </w:p>
        </w:tc>
      </w:tr>
      <w:tr w:rsidR="000C5C90" w:rsidRPr="000C5C90" w:rsidTr="000C5C90">
        <w:trPr>
          <w:trHeight w:val="34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351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6.6.1.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Охват населения телевизионным вещанием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 населения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</w:tr>
      <w:tr w:rsidR="000C5C90" w:rsidRPr="000C5C90" w:rsidTr="000C5C90">
        <w:trPr>
          <w:trHeight w:val="255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6.6.2.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Обеспеченность населения телефонной сетью общего пользования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номеров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</w:t>
            </w:r>
          </w:p>
        </w:tc>
      </w:tr>
      <w:tr w:rsidR="000C5C90" w:rsidRPr="000C5C90" w:rsidTr="000C5C90">
        <w:trPr>
          <w:trHeight w:val="4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1000жителей</w:t>
            </w:r>
          </w:p>
        </w:tc>
        <w:tc>
          <w:tcPr>
            <w:tcW w:w="4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Санитарная очистка территорий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6.7.1.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 бытовых отходов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т/год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6.08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 твердых бытовых отходов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4.95</w:t>
            </w:r>
          </w:p>
        </w:tc>
      </w:tr>
      <w:tr w:rsidR="000C5C90" w:rsidRPr="000C5C90" w:rsidTr="000C5C90">
        <w:trPr>
          <w:trHeight w:val="525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Ритуальное обслуживание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C5C90" w:rsidRPr="000C5C90" w:rsidTr="000C5C90">
        <w:trPr>
          <w:trHeight w:val="270"/>
          <w:jc w:val="right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Общее количество кладбищ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5C90" w:rsidRPr="000C5C90" w:rsidRDefault="000C5C90" w:rsidP="000C5C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C5C9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16,0</w:t>
            </w:r>
          </w:p>
        </w:tc>
      </w:tr>
    </w:tbl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6.Картографические материалы</w:t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Times New Roman"/>
          <w:b/>
          <w:noProof/>
          <w:sz w:val="24"/>
          <w:szCs w:val="26"/>
          <w:lang w:eastAsia="ru-RU"/>
        </w:rPr>
        <w:drawing>
          <wp:inline distT="0" distB="0" distL="0" distR="0">
            <wp:extent cx="4686300" cy="4781550"/>
            <wp:effectExtent l="0" t="0" r="0" b="0"/>
            <wp:docPr id="3" name="Рисунок 3" descr="Прав Карта планируемых границ функциональных зон Залиманского 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 Карта планируемых границ функциональных зон Залиманского С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00675" cy="4448175"/>
            <wp:effectExtent l="0" t="0" r="9525" b="9525"/>
            <wp:docPr id="2" name="Рисунок 2" descr="реги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гист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90" w:rsidRPr="000C5C90" w:rsidRDefault="000C5C90" w:rsidP="000C5C9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5C90" w:rsidRPr="000C5C90" w:rsidRDefault="000C5C90" w:rsidP="000C5C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Arial"/>
          <w:sz w:val="24"/>
          <w:szCs w:val="24"/>
          <w:lang w:eastAsia="ru-RU"/>
        </w:rPr>
        <w:t>7.Приложение</w:t>
      </w:r>
    </w:p>
    <w:p w:rsidR="000C5C90" w:rsidRPr="000C5C90" w:rsidRDefault="000C5C90" w:rsidP="000C5C90">
      <w:pPr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bCs/>
          <w:sz w:val="24"/>
          <w:szCs w:val="24"/>
          <w:lang w:eastAsia="ru-RU"/>
        </w:rPr>
      </w:pPr>
      <w:r w:rsidRPr="000C5C90">
        <w:rPr>
          <w:rFonts w:ascii="Arial" w:eastAsia="Times New Roman" w:hAnsi="Arial" w:cs="Times New Roman"/>
          <w:bCs/>
          <w:sz w:val="24"/>
          <w:szCs w:val="24"/>
          <w:lang w:eastAsia="ru-RU"/>
        </w:rPr>
        <w:t>Описание местоположения границы населенного пункта х. Галиевка Залиманского сельского поселения Богучарского муниципального района Воронежской области</w:t>
      </w:r>
    </w:p>
    <w:p w:rsidR="000C5C90" w:rsidRPr="000C5C90" w:rsidRDefault="000C5C90" w:rsidP="000C5C90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0C5C90">
        <w:rPr>
          <w:rFonts w:ascii="Arial" w:eastAsia="Times New Roman" w:hAnsi="Arial" w:cs="Times New Roman"/>
          <w:sz w:val="24"/>
          <w:szCs w:val="24"/>
          <w:lang w:eastAsia="ru-RU"/>
        </w:rPr>
        <w:t>Граница хутора Галиевка Залиманского сельского поселения Воронежской области начинается в точке 1 приблизительно в 300 м от реки Дон и проходит в юго-восточном и в юго-западном направлении по необработанной территории, занятой сорной растительностью вдоль южной стороны проселочной грунтовой дороги до точки 7 на протяжении 275 м, далее в юго-восточном направлении по северной стороне ул. Школьная, включая ее в границы населенного пункта до точки 10 на протяжении 117 м. Затем граница населенного пункта проходит в юго-восточном направлении по древесно-кустарниковым насаждениям и по необработанной территории, занятой сорной растительностью и кустарниковыми насаждениями на протяжении 525 м до точки 20, далее в этом же направлении вдоль прибрежной полосы по луговой растительности берега реки Дон до точки 26 на протяжении 590 м. Далее пересекает автодорогу регионального значения (В 12 - 0) «Богучар – Подколодновка» в юго-восточном направлении и следует вдоль прибрежной полосы по луговой растительности берега реки Дон до точки 28 и далее вдоль водоохранных древесно-кустарниковых насаждений берега пруда без названия в этом же направлении до точки 44 на протяжении 600 м, затем граница населенного пункта поворачивает в юго-западном направлении и проходит по древесно-кустарниковым насаждениям вдоль земель Богучарского лесничества урочище Галиевское квартал № 36-43 до точки 55 на протяжении 400 м и далее вдоль водоохранных древесно-кустарниковых насаждений берега пруда без названия в юго-западном направлении до точки 89 на протяжении 807 м, затем меняет направление на юго-западное и проходит по необработанной территории, занятой сорной растительностью до точки 93 на протяжении 125 м. Далее граница населенного пункта х. Галиевка следует по кромке пашни до точки 94 в северо-западном направлении и до точки 105 в юго-западном направлении на протяжении 750 м, далее в северо-западном направлении по необработанной, занятой сорной растительностью территории до точки 112 на протяжении 395 м, затем пересекает автодорогу регионального значения (В 12 - 0) «Богучар – Подколодновка» и следует в этом же направлении по необработанной, занятой сорной растительностью территории до точки 117 на протяжении 360 м. Далее граница проходит в северном и северо-восточном направлении по кромке пашни до точки 127 на протяжении 715 м, далее до точки 129 по необработанной территории в северо-западном направлении на протяжении 130 м, затем поворачивает на юго-восток и следует вдоль южной стороны полезащитной лесополосы по ул. Донская, включая улицу в границы населенного пункта до точки 133 далее вдоль этой же лесополосы по древесно-кустарниковым насаждениям до точки 140 на протяжении 592 м. Затем граница населенного пункта проходит до точки 143 по необработанной территории, занятой сорной растительностью в юго-восточном направлении, поворачивает на северо-восток и следует вдоль восточной стороны полезащитной лесополосы и далее по кромке пашни и по необработанной территории, занятой сорной растительностью до точки 151 на протяжении 600 м, далее по западной стороне ул. Молодежная, включая ее в границы населенного пункта вдоль восточной стороны полезащитной лесополосы в северо-западном направлении до точки 173 на протяжении 585 м, далее в этом же направлении граница проходит по кромке пашни до точки 178, пересекает проселочную грунтовую дорогу и следует в восточном направлении по кустарниковым насаждениям вдоль земель Богучарского лесничества квартал № 18 до точки 184 и вдоль защитных лесных насаждений в северо-восточном направлении до точки 190 на протяжении 870 м. Затем граница следует по необработанной территории, занятой древесно-кустарниковой растительностью в северо-западном и в северо-восточном направлении до начальной точки.</w:t>
      </w:r>
    </w:p>
    <w:p w:rsidR="000C5C90" w:rsidRPr="000C5C90" w:rsidRDefault="000C5C90" w:rsidP="000C5C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5C90">
        <w:rPr>
          <w:rFonts w:ascii="Arial" w:eastAsia="Times New Roman" w:hAnsi="Arial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43450" cy="583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90" w:rsidRPr="000C5C90" w:rsidRDefault="000C5C90" w:rsidP="000C5C90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3271" w:rsidRDefault="00923271">
      <w:bookmarkStart w:id="21" w:name="_GoBack"/>
      <w:bookmarkEnd w:id="21"/>
    </w:p>
    <w:sectPr w:rsidR="0092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BC71B2"/>
    <w:multiLevelType w:val="hybridMultilevel"/>
    <w:tmpl w:val="3E76BA24"/>
    <w:lvl w:ilvl="0" w:tplc="A78E82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E1101"/>
    <w:multiLevelType w:val="hybridMultilevel"/>
    <w:tmpl w:val="F0F23194"/>
    <w:lvl w:ilvl="0" w:tplc="A78E823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B0"/>
    <w:rsid w:val="000C5C90"/>
    <w:rsid w:val="008050B0"/>
    <w:rsid w:val="0092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88665-A81D-465D-9F22-86998D82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0C5C90"/>
    <w:pPr>
      <w:spacing w:after="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!Разделы документа"/>
    <w:basedOn w:val="a"/>
    <w:link w:val="20"/>
    <w:uiPriority w:val="9"/>
    <w:qFormat/>
    <w:rsid w:val="000C5C90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3">
    <w:name w:val="heading 3"/>
    <w:aliases w:val="!Главы документа"/>
    <w:basedOn w:val="a"/>
    <w:link w:val="30"/>
    <w:uiPriority w:val="9"/>
    <w:qFormat/>
    <w:rsid w:val="000C5C90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0C5C90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0C5C90"/>
    <w:pPr>
      <w:spacing w:before="240" w:after="60" w:line="240" w:lineRule="auto"/>
      <w:ind w:firstLine="567"/>
      <w:jc w:val="both"/>
      <w:outlineLvl w:val="4"/>
    </w:pPr>
    <w:rPr>
      <w:rFonts w:ascii="Arial" w:eastAsia="Times New Roman" w:hAnsi="Arial" w:cs="Times New Roman"/>
      <w:b/>
      <w:bCs/>
      <w:i/>
      <w:iCs/>
      <w:sz w:val="24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0C5C90"/>
    <w:pPr>
      <w:spacing w:before="240" w:after="60" w:line="240" w:lineRule="auto"/>
      <w:ind w:firstLine="567"/>
      <w:jc w:val="both"/>
      <w:outlineLvl w:val="5"/>
    </w:pPr>
    <w:rPr>
      <w:rFonts w:ascii="Arial" w:eastAsia="Times New Roman" w:hAnsi="Arial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0C5C90"/>
    <w:pPr>
      <w:spacing w:before="240" w:after="60" w:line="240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0C5C90"/>
    <w:pPr>
      <w:spacing w:before="240" w:after="60" w:line="240" w:lineRule="auto"/>
      <w:ind w:firstLine="567"/>
      <w:jc w:val="both"/>
      <w:outlineLvl w:val="7"/>
    </w:pPr>
    <w:rPr>
      <w:rFonts w:ascii="Arial" w:eastAsia="Times New Roman" w:hAnsi="Arial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0C5C90"/>
    <w:pPr>
      <w:spacing w:before="240" w:after="60" w:line="252" w:lineRule="auto"/>
      <w:ind w:firstLine="709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1"/>
    <w:basedOn w:val="a0"/>
    <w:link w:val="1"/>
    <w:uiPriority w:val="9"/>
    <w:rsid w:val="000C5C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1"/>
    <w:basedOn w:val="a0"/>
    <w:link w:val="2"/>
    <w:uiPriority w:val="9"/>
    <w:rsid w:val="000C5C90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1"/>
    <w:basedOn w:val="a0"/>
    <w:link w:val="3"/>
    <w:uiPriority w:val="9"/>
    <w:rsid w:val="000C5C90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uiPriority w:val="9"/>
    <w:rsid w:val="000C5C90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C5C90"/>
    <w:rPr>
      <w:rFonts w:ascii="Arial" w:eastAsia="Times New Roman" w:hAnsi="Arial" w:cs="Times New Roman"/>
      <w:b/>
      <w:bCs/>
      <w:i/>
      <w:iCs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C5C90"/>
    <w:rPr>
      <w:rFonts w:ascii="Arial" w:eastAsia="Times New Roman" w:hAnsi="Arial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C5C9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C5C90"/>
    <w:rPr>
      <w:rFonts w:ascii="Arial" w:eastAsia="Times New Roman" w:hAnsi="Arial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C5C90"/>
    <w:rPr>
      <w:rFonts w:ascii="Arial" w:eastAsia="Times New Roman" w:hAnsi="Arial" w:cs="Arial"/>
      <w:lang w:eastAsia="ru-RU"/>
    </w:rPr>
  </w:style>
  <w:style w:type="character" w:styleId="a3">
    <w:name w:val="Hyperlink"/>
    <w:uiPriority w:val="99"/>
    <w:semiHidden/>
    <w:unhideWhenUsed/>
    <w:rsid w:val="000C5C90"/>
    <w:rPr>
      <w:strike w:val="0"/>
      <w:dstrike w:val="0"/>
      <w:color w:val="0000FF"/>
      <w:u w:val="none"/>
      <w:effect w:val="none"/>
    </w:rPr>
  </w:style>
  <w:style w:type="character" w:styleId="a4">
    <w:name w:val="FollowedHyperlink"/>
    <w:uiPriority w:val="99"/>
    <w:semiHidden/>
    <w:unhideWhenUsed/>
    <w:rsid w:val="000C5C90"/>
    <w:rPr>
      <w:color w:val="800080"/>
      <w:u w:val="single"/>
    </w:rPr>
  </w:style>
  <w:style w:type="character" w:customStyle="1" w:styleId="11">
    <w:name w:val="Заголовок 1 Знак1"/>
    <w:aliases w:val="!Части документа Знак"/>
    <w:uiPriority w:val="9"/>
    <w:rsid w:val="000C5C90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">
    <w:name w:val="Заголовок 2 Знак1"/>
    <w:aliases w:val="!Разделы документа Знак"/>
    <w:uiPriority w:val="9"/>
    <w:semiHidden/>
    <w:rsid w:val="000C5C90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31">
    <w:name w:val="Заголовок 3 Знак1"/>
    <w:aliases w:val="!Главы документа Знак"/>
    <w:uiPriority w:val="9"/>
    <w:semiHidden/>
    <w:rsid w:val="000C5C90"/>
    <w:rPr>
      <w:rFonts w:ascii="Calibri Light" w:eastAsia="Times New Roman" w:hAnsi="Calibri Light" w:cs="Times New Roman" w:hint="default"/>
      <w:color w:val="1F4D78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uiPriority w:val="9"/>
    <w:semiHidden/>
    <w:rsid w:val="000C5C90"/>
    <w:rPr>
      <w:rFonts w:ascii="Calibri Light" w:eastAsia="Times New Roman" w:hAnsi="Calibri Light" w:cs="Times New Roman" w:hint="default"/>
      <w:i/>
      <w:iCs/>
      <w:color w:val="2E74B5"/>
      <w:sz w:val="24"/>
      <w:szCs w:val="24"/>
    </w:rPr>
  </w:style>
  <w:style w:type="character" w:styleId="HTML">
    <w:name w:val="HTML Variable"/>
    <w:aliases w:val="!Ссылки в документе"/>
    <w:uiPriority w:val="99"/>
    <w:semiHidden/>
    <w:unhideWhenUsed/>
    <w:rsid w:val="000C5C90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5">
    <w:name w:val="Normal (Web)"/>
    <w:basedOn w:val="a"/>
    <w:uiPriority w:val="99"/>
    <w:semiHidden/>
    <w:unhideWhenUsed/>
    <w:rsid w:val="000C5C90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0C5C90"/>
    <w:pPr>
      <w:spacing w:after="0" w:line="252" w:lineRule="auto"/>
      <w:ind w:firstLine="709"/>
      <w:jc w:val="both"/>
    </w:pPr>
    <w:rPr>
      <w:rFonts w:ascii="Arial" w:eastAsia="Times New Roman" w:hAnsi="Arial" w:cs="Times New Roman"/>
      <w:sz w:val="24"/>
      <w:lang w:eastAsia="ru-RU"/>
    </w:rPr>
  </w:style>
  <w:style w:type="character" w:customStyle="1" w:styleId="a6">
    <w:name w:val="Текст примечания Знак"/>
    <w:aliases w:val="!Равноширинный текст документа Знак1"/>
    <w:link w:val="a7"/>
    <w:semiHidden/>
    <w:locked/>
    <w:rsid w:val="000C5C90"/>
    <w:rPr>
      <w:rFonts w:ascii="Courier" w:hAnsi="Courier"/>
    </w:rPr>
  </w:style>
  <w:style w:type="paragraph" w:styleId="a7">
    <w:name w:val="annotation text"/>
    <w:aliases w:val="!Равноширинный текст документа"/>
    <w:basedOn w:val="a"/>
    <w:link w:val="a6"/>
    <w:semiHidden/>
    <w:unhideWhenUsed/>
    <w:rsid w:val="000C5C90"/>
    <w:pPr>
      <w:spacing w:after="0" w:line="240" w:lineRule="auto"/>
      <w:ind w:firstLine="567"/>
      <w:jc w:val="both"/>
    </w:pPr>
    <w:rPr>
      <w:rFonts w:ascii="Courier" w:hAnsi="Courier"/>
    </w:rPr>
  </w:style>
  <w:style w:type="character" w:customStyle="1" w:styleId="13">
    <w:name w:val="Текст примечания Знак1"/>
    <w:aliases w:val="!Равноширинный текст документа Знак"/>
    <w:basedOn w:val="a0"/>
    <w:uiPriority w:val="99"/>
    <w:semiHidden/>
    <w:rsid w:val="000C5C90"/>
    <w:rPr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0C5C90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0C5C90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C5C90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0C5C90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caption"/>
    <w:next w:val="a"/>
    <w:uiPriority w:val="35"/>
    <w:qFormat/>
    <w:rsid w:val="000C5C90"/>
    <w:pPr>
      <w:spacing w:before="240" w:after="60" w:line="240" w:lineRule="auto"/>
      <w:contextualSpacing/>
      <w:outlineLvl w:val="4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d">
    <w:name w:val="Название Знак"/>
    <w:aliases w:val="Çàãîëîâîê Знак"/>
    <w:link w:val="ae"/>
    <w:locked/>
    <w:rsid w:val="000C5C90"/>
    <w:rPr>
      <w:b/>
      <w:sz w:val="26"/>
      <w:lang w:eastAsia="ru-RU"/>
    </w:rPr>
  </w:style>
  <w:style w:type="paragraph" w:styleId="ae">
    <w:name w:val="Title"/>
    <w:aliases w:val="Çàãîëîâîê"/>
    <w:basedOn w:val="a"/>
    <w:link w:val="ad"/>
    <w:qFormat/>
    <w:rsid w:val="000C5C90"/>
    <w:pPr>
      <w:spacing w:after="0" w:line="240" w:lineRule="auto"/>
      <w:ind w:firstLine="567"/>
      <w:jc w:val="center"/>
    </w:pPr>
    <w:rPr>
      <w:b/>
      <w:sz w:val="26"/>
      <w:lang w:eastAsia="ru-RU"/>
    </w:rPr>
  </w:style>
  <w:style w:type="character" w:customStyle="1" w:styleId="14">
    <w:name w:val="Название Знак1"/>
    <w:aliases w:val="Çàãîëîâîê Знак1"/>
    <w:basedOn w:val="a0"/>
    <w:uiPriority w:val="10"/>
    <w:rsid w:val="000C5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Body Text"/>
    <w:basedOn w:val="a"/>
    <w:link w:val="af0"/>
    <w:uiPriority w:val="99"/>
    <w:semiHidden/>
    <w:unhideWhenUsed/>
    <w:rsid w:val="000C5C90"/>
    <w:pPr>
      <w:spacing w:after="12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0C5C90"/>
    <w:rPr>
      <w:rFonts w:ascii="Arial" w:eastAsia="Times New Roman" w:hAnsi="Arial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0C5C90"/>
    <w:pPr>
      <w:spacing w:after="120" w:line="240" w:lineRule="auto"/>
      <w:ind w:left="283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0C5C90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Note Heading"/>
    <w:basedOn w:val="a"/>
    <w:next w:val="a"/>
    <w:link w:val="af4"/>
    <w:uiPriority w:val="99"/>
    <w:semiHidden/>
    <w:unhideWhenUsed/>
    <w:rsid w:val="000C5C90"/>
    <w:pPr>
      <w:spacing w:after="0" w:line="252" w:lineRule="auto"/>
      <w:ind w:firstLine="709"/>
      <w:jc w:val="both"/>
    </w:pPr>
    <w:rPr>
      <w:rFonts w:ascii="Arial" w:eastAsia="Times New Roman" w:hAnsi="Arial" w:cs="Times New Roman"/>
      <w:sz w:val="24"/>
      <w:lang w:eastAsia="ru-RU"/>
    </w:rPr>
  </w:style>
  <w:style w:type="character" w:customStyle="1" w:styleId="af4">
    <w:name w:val="Заголовок записки Знак"/>
    <w:basedOn w:val="a0"/>
    <w:link w:val="af3"/>
    <w:uiPriority w:val="99"/>
    <w:semiHidden/>
    <w:rsid w:val="000C5C90"/>
    <w:rPr>
      <w:rFonts w:ascii="Arial" w:eastAsia="Times New Roman" w:hAnsi="Arial" w:cs="Times New Roman"/>
      <w:sz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0C5C90"/>
    <w:pPr>
      <w:widowControl w:val="0"/>
      <w:tabs>
        <w:tab w:val="left" w:pos="720"/>
        <w:tab w:val="left" w:pos="1134"/>
      </w:tabs>
      <w:overflowPunct w:val="0"/>
      <w:autoSpaceDE w:val="0"/>
      <w:autoSpaceDN w:val="0"/>
      <w:adjustRightInd w:val="0"/>
      <w:spacing w:before="120" w:after="60" w:line="240" w:lineRule="auto"/>
      <w:ind w:right="68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0C5C90"/>
    <w:rPr>
      <w:rFonts w:ascii="Arial" w:eastAsia="Times New Roman" w:hAnsi="Arial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0C5C90"/>
    <w:pPr>
      <w:spacing w:after="120" w:line="240" w:lineRule="auto"/>
      <w:ind w:firstLine="567"/>
      <w:jc w:val="both"/>
    </w:pPr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0C5C90"/>
    <w:rPr>
      <w:rFonts w:ascii="Arial" w:eastAsia="Times New Roman" w:hAnsi="Arial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0C5C90"/>
    <w:pPr>
      <w:spacing w:after="120" w:line="480" w:lineRule="auto"/>
      <w:ind w:left="283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C5C90"/>
    <w:rPr>
      <w:rFonts w:ascii="Arial" w:eastAsia="Times New Roman" w:hAnsi="Arial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0C5C90"/>
    <w:pPr>
      <w:spacing w:after="120" w:line="240" w:lineRule="auto"/>
      <w:ind w:left="283" w:firstLine="567"/>
      <w:jc w:val="both"/>
    </w:pPr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0C5C90"/>
    <w:rPr>
      <w:rFonts w:ascii="Arial" w:eastAsia="Times New Roman" w:hAnsi="Arial" w:cs="Times New Roman"/>
      <w:sz w:val="16"/>
      <w:szCs w:val="16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0C5C90"/>
    <w:pPr>
      <w:shd w:val="clear" w:color="auto" w:fill="000080"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4"/>
      <w:lang w:eastAsia="ru-RU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0C5C90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0C5C90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semiHidden/>
    <w:rsid w:val="000C5C9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Без интервала Знак"/>
    <w:link w:val="afa"/>
    <w:locked/>
    <w:rsid w:val="000C5C90"/>
    <w:rPr>
      <w:rFonts w:ascii="Calibri" w:hAnsi="Calibri" w:cs="Calibri"/>
    </w:rPr>
  </w:style>
  <w:style w:type="paragraph" w:styleId="afa">
    <w:name w:val="No Spacing"/>
    <w:link w:val="af9"/>
    <w:qFormat/>
    <w:rsid w:val="000C5C90"/>
    <w:pPr>
      <w:spacing w:after="0" w:line="240" w:lineRule="auto"/>
    </w:pPr>
    <w:rPr>
      <w:rFonts w:ascii="Calibri" w:hAnsi="Calibri" w:cs="Calibri"/>
    </w:rPr>
  </w:style>
  <w:style w:type="paragraph" w:styleId="afb">
    <w:name w:val="List Paragraph"/>
    <w:basedOn w:val="a"/>
    <w:uiPriority w:val="34"/>
    <w:qFormat/>
    <w:rsid w:val="000C5C90"/>
    <w:pPr>
      <w:spacing w:after="200" w:line="276" w:lineRule="auto"/>
      <w:ind w:left="720" w:firstLine="567"/>
      <w:contextualSpacing/>
      <w:jc w:val="both"/>
    </w:pPr>
    <w:rPr>
      <w:rFonts w:ascii="Calibri" w:eastAsia="Calibri" w:hAnsi="Calibri" w:cs="Times New Roman"/>
    </w:rPr>
  </w:style>
  <w:style w:type="paragraph" w:customStyle="1" w:styleId="afc">
    <w:name w:val="Знак Знак Знак Знак"/>
    <w:basedOn w:val="a"/>
    <w:rsid w:val="000C5C90"/>
    <w:pPr>
      <w:pageBreakBefore/>
      <w:spacing w:line="360" w:lineRule="auto"/>
      <w:ind w:firstLine="567"/>
      <w:jc w:val="both"/>
    </w:pPr>
    <w:rPr>
      <w:rFonts w:ascii="Arial" w:eastAsia="Times New Roman" w:hAnsi="Arial" w:cs="Times New Roman"/>
      <w:sz w:val="28"/>
      <w:szCs w:val="24"/>
      <w:lang w:val="en-US"/>
    </w:rPr>
  </w:style>
  <w:style w:type="paragraph" w:customStyle="1" w:styleId="FR3">
    <w:name w:val="FR3"/>
    <w:rsid w:val="000C5C90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Iniiaiieoaeno">
    <w:name w:val="Iniiaiie oaeno"/>
    <w:basedOn w:val="a"/>
    <w:rsid w:val="000C5C90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d">
    <w:name w:val="Îñíîâíîé òåêñò"/>
    <w:basedOn w:val="a"/>
    <w:rsid w:val="000C5C90"/>
    <w:pPr>
      <w:autoSpaceDE w:val="0"/>
      <w:autoSpaceDN w:val="0"/>
      <w:adjustRightInd w:val="0"/>
      <w:spacing w:after="0" w:line="240" w:lineRule="auto"/>
      <w:ind w:firstLine="567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Normal">
    <w:name w:val="Normal Знак"/>
    <w:link w:val="15"/>
    <w:locked/>
    <w:rsid w:val="000C5C90"/>
    <w:rPr>
      <w:lang w:eastAsia="ru-RU"/>
    </w:rPr>
  </w:style>
  <w:style w:type="paragraph" w:customStyle="1" w:styleId="15">
    <w:name w:val="Обычный1"/>
    <w:link w:val="Normal"/>
    <w:rsid w:val="000C5C90"/>
    <w:pPr>
      <w:snapToGrid w:val="0"/>
      <w:spacing w:after="0" w:line="240" w:lineRule="auto"/>
    </w:pPr>
    <w:rPr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5"/>
    <w:rsid w:val="000C5C90"/>
    <w:pPr>
      <w:ind w:left="-113" w:right="-113"/>
      <w:jc w:val="center"/>
    </w:pPr>
    <w:rPr>
      <w:b/>
      <w:bCs/>
      <w:sz w:val="20"/>
    </w:rPr>
  </w:style>
  <w:style w:type="paragraph" w:customStyle="1" w:styleId="ConsPlusNormal">
    <w:name w:val="ConsPlusNormal"/>
    <w:rsid w:val="000C5C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Стиль 1"/>
    <w:basedOn w:val="a"/>
    <w:rsid w:val="000C5C90"/>
    <w:pPr>
      <w:overflowPunct w:val="0"/>
      <w:autoSpaceDE w:val="0"/>
      <w:autoSpaceDN w:val="0"/>
      <w:adjustRightInd w:val="0"/>
      <w:spacing w:before="60" w:after="60" w:line="240" w:lineRule="auto"/>
      <w:ind w:firstLine="709"/>
      <w:jc w:val="both"/>
    </w:pPr>
    <w:rPr>
      <w:rFonts w:ascii="Arial" w:eastAsia="Times New Roman" w:hAnsi="Arial" w:cs="Times New Roman"/>
      <w:sz w:val="24"/>
      <w:szCs w:val="26"/>
      <w:lang w:eastAsia="ru-RU"/>
    </w:rPr>
  </w:style>
  <w:style w:type="paragraph" w:customStyle="1" w:styleId="afe">
    <w:name w:val="Осн_текст"/>
    <w:basedOn w:val="a"/>
    <w:rsid w:val="000C5C90"/>
    <w:pPr>
      <w:spacing w:before="120" w:after="120" w:line="360" w:lineRule="auto"/>
      <w:ind w:firstLine="709"/>
      <w:jc w:val="both"/>
    </w:pPr>
    <w:rPr>
      <w:rFonts w:ascii="Arial" w:eastAsia="Times New Roman" w:hAnsi="Arial" w:cs="Times New Roman"/>
      <w:sz w:val="24"/>
      <w:szCs w:val="26"/>
      <w:lang w:eastAsia="ru-RU"/>
    </w:rPr>
  </w:style>
  <w:style w:type="character" w:customStyle="1" w:styleId="26">
    <w:name w:val="Стиль2 Знак"/>
    <w:link w:val="27"/>
    <w:locked/>
    <w:rsid w:val="000C5C90"/>
    <w:rPr>
      <w:rFonts w:ascii="Arial" w:hAnsi="Arial" w:cs="Arial"/>
      <w:b/>
      <w:bCs/>
      <w:sz w:val="28"/>
      <w:szCs w:val="28"/>
      <w:lang w:bidi="as-IN"/>
    </w:rPr>
  </w:style>
  <w:style w:type="paragraph" w:customStyle="1" w:styleId="27">
    <w:name w:val="Стиль2"/>
    <w:basedOn w:val="a"/>
    <w:link w:val="26"/>
    <w:rsid w:val="000C5C90"/>
    <w:pPr>
      <w:tabs>
        <w:tab w:val="left" w:pos="900"/>
        <w:tab w:val="left" w:pos="1800"/>
      </w:tabs>
      <w:spacing w:before="120" w:after="120" w:line="240" w:lineRule="auto"/>
      <w:ind w:left="2160" w:hanging="360"/>
      <w:jc w:val="center"/>
    </w:pPr>
    <w:rPr>
      <w:rFonts w:ascii="Arial" w:hAnsi="Arial" w:cs="Arial"/>
      <w:b/>
      <w:bCs/>
      <w:sz w:val="28"/>
      <w:szCs w:val="28"/>
      <w:lang w:bidi="as-IN"/>
    </w:rPr>
  </w:style>
  <w:style w:type="paragraph" w:customStyle="1" w:styleId="210">
    <w:name w:val="Основной текст 21"/>
    <w:basedOn w:val="a"/>
    <w:rsid w:val="000C5C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0C5C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0C5C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8">
    <w:name w:val="Обычный2"/>
    <w:rsid w:val="000C5C90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20">
    <w:name w:val="Основной текст с отступом 32"/>
    <w:basedOn w:val="a"/>
    <w:rsid w:val="000C5C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330">
    <w:name w:val="Основной текст с отступом 33"/>
    <w:basedOn w:val="a"/>
    <w:rsid w:val="000C5C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340">
    <w:name w:val="Основной текст с отступом 34"/>
    <w:basedOn w:val="a"/>
    <w:rsid w:val="000C5C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NormalPrefixChar1">
    <w:name w:val="Normal Prefix Char1"/>
    <w:link w:val="NormalPrefix"/>
    <w:locked/>
    <w:rsid w:val="000C5C90"/>
    <w:rPr>
      <w:lang w:eastAsia="ru-RU"/>
    </w:rPr>
  </w:style>
  <w:style w:type="paragraph" w:customStyle="1" w:styleId="NormalPrefix">
    <w:name w:val="Normal Prefix"/>
    <w:link w:val="NormalPrefixChar1"/>
    <w:rsid w:val="000C5C90"/>
    <w:pPr>
      <w:spacing w:before="100" w:after="100" w:line="240" w:lineRule="auto"/>
    </w:pPr>
    <w:rPr>
      <w:lang w:eastAsia="ru-RU"/>
    </w:rPr>
  </w:style>
  <w:style w:type="paragraph" w:customStyle="1" w:styleId="consplusnormal0">
    <w:name w:val="consplusnormal"/>
    <w:basedOn w:val="a"/>
    <w:rsid w:val="000C5C90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">
    <w:name w:val="Осн.текст"/>
    <w:basedOn w:val="a"/>
    <w:rsid w:val="000C5C90"/>
    <w:pPr>
      <w:suppressLineNumbers/>
      <w:spacing w:before="40"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24">
    <w:name w:val="xl24"/>
    <w:basedOn w:val="a"/>
    <w:rsid w:val="000C5C90"/>
    <w:pPr>
      <w:spacing w:before="100" w:beforeAutospacing="1" w:after="100" w:afterAutospacing="1" w:line="240" w:lineRule="auto"/>
      <w:ind w:firstLine="567"/>
      <w:jc w:val="both"/>
    </w:pPr>
    <w:rPr>
      <w:rFonts w:ascii="Arial" w:eastAsia="Arial Unicode MS" w:hAnsi="Arial" w:cs="Times New Roman"/>
      <w:sz w:val="24"/>
      <w:szCs w:val="24"/>
      <w:lang w:eastAsia="ru-RU"/>
    </w:rPr>
  </w:style>
  <w:style w:type="paragraph" w:customStyle="1" w:styleId="17">
    <w:name w:val="Стиль1"/>
    <w:basedOn w:val="a"/>
    <w:rsid w:val="000C5C90"/>
    <w:pPr>
      <w:spacing w:after="0" w:line="240" w:lineRule="auto"/>
      <w:ind w:firstLine="709"/>
      <w:jc w:val="center"/>
    </w:pPr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paragraph" w:customStyle="1" w:styleId="230">
    <w:name w:val="Основной текст 23"/>
    <w:basedOn w:val="a"/>
    <w:rsid w:val="000C5C90"/>
    <w:pPr>
      <w:spacing w:after="0" w:line="240" w:lineRule="auto"/>
      <w:ind w:firstLine="708"/>
      <w:jc w:val="both"/>
    </w:pPr>
    <w:rPr>
      <w:rFonts w:ascii="Arial" w:eastAsia="Times New Roman" w:hAnsi="Arial" w:cs="Times New Roman"/>
      <w:sz w:val="28"/>
      <w:szCs w:val="26"/>
      <w:lang w:eastAsia="ru-RU"/>
    </w:rPr>
  </w:style>
  <w:style w:type="paragraph" w:customStyle="1" w:styleId="240">
    <w:name w:val="Основной текст 24"/>
    <w:basedOn w:val="a"/>
    <w:rsid w:val="000C5C90"/>
    <w:pPr>
      <w:spacing w:after="0" w:line="240" w:lineRule="auto"/>
      <w:ind w:firstLine="708"/>
      <w:jc w:val="both"/>
    </w:pPr>
    <w:rPr>
      <w:rFonts w:ascii="Arial" w:eastAsia="Times New Roman" w:hAnsi="Arial" w:cs="Times New Roman"/>
      <w:sz w:val="28"/>
      <w:szCs w:val="26"/>
      <w:lang w:eastAsia="ru-RU"/>
    </w:rPr>
  </w:style>
  <w:style w:type="paragraph" w:customStyle="1" w:styleId="18">
    <w:name w:val="Док_Заг_1"/>
    <w:basedOn w:val="a"/>
    <w:next w:val="afe"/>
    <w:rsid w:val="000C5C90"/>
    <w:pPr>
      <w:tabs>
        <w:tab w:val="num" w:pos="1080"/>
      </w:tabs>
      <w:spacing w:before="360" w:after="360" w:line="240" w:lineRule="auto"/>
      <w:ind w:left="1094" w:right="737" w:hanging="357"/>
      <w:jc w:val="center"/>
      <w:outlineLvl w:val="0"/>
    </w:pPr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29">
    <w:name w:val="Док_Заг_2"/>
    <w:basedOn w:val="a"/>
    <w:next w:val="afe"/>
    <w:rsid w:val="000C5C90"/>
    <w:pPr>
      <w:tabs>
        <w:tab w:val="num" w:pos="1800"/>
      </w:tabs>
      <w:spacing w:before="240" w:after="240" w:line="240" w:lineRule="auto"/>
      <w:ind w:left="1800" w:right="567" w:hanging="360"/>
      <w:jc w:val="center"/>
      <w:outlineLvl w:val="1"/>
    </w:pPr>
    <w:rPr>
      <w:rFonts w:ascii="Arial" w:eastAsia="Times New Roman" w:hAnsi="Arial" w:cs="Times New Roman"/>
      <w:b/>
      <w:szCs w:val="24"/>
      <w:lang w:eastAsia="ru-RU"/>
    </w:rPr>
  </w:style>
  <w:style w:type="paragraph" w:customStyle="1" w:styleId="36">
    <w:name w:val="Док_Заг_3"/>
    <w:basedOn w:val="a"/>
    <w:next w:val="afe"/>
    <w:rsid w:val="000C5C90"/>
    <w:pPr>
      <w:tabs>
        <w:tab w:val="num" w:pos="2520"/>
      </w:tabs>
      <w:spacing w:before="240" w:after="240" w:line="240" w:lineRule="auto"/>
      <w:ind w:left="2520" w:right="737" w:hanging="360"/>
      <w:jc w:val="both"/>
      <w:outlineLvl w:val="2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customStyle="1" w:styleId="aff0">
    <w:name w:val="Знак"/>
    <w:basedOn w:val="a"/>
    <w:rsid w:val="000C5C90"/>
    <w:pPr>
      <w:pageBreakBefore/>
      <w:spacing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313">
    <w:name w:val="Заголовок 3+13"/>
    <w:basedOn w:val="3"/>
    <w:rsid w:val="000C5C90"/>
    <w:pPr>
      <w:widowControl w:val="0"/>
      <w:overflowPunct w:val="0"/>
      <w:autoSpaceDE w:val="0"/>
      <w:autoSpaceDN w:val="0"/>
      <w:adjustRightInd w:val="0"/>
      <w:spacing w:before="360" w:after="120"/>
    </w:pPr>
    <w:rPr>
      <w:rFonts w:ascii="Times New Roman" w:hAnsi="Times New Roman" w:cs="Times New Roman"/>
      <w:bCs w:val="0"/>
      <w:sz w:val="24"/>
      <w:szCs w:val="20"/>
    </w:rPr>
  </w:style>
  <w:style w:type="character" w:customStyle="1" w:styleId="37">
    <w:name w:val="Абзац3 Знак"/>
    <w:link w:val="38"/>
    <w:locked/>
    <w:rsid w:val="000C5C90"/>
    <w:rPr>
      <w:rFonts w:ascii="Arial" w:hAnsi="Arial" w:cs="Arial"/>
      <w:sz w:val="24"/>
      <w:szCs w:val="24"/>
    </w:rPr>
  </w:style>
  <w:style w:type="paragraph" w:customStyle="1" w:styleId="38">
    <w:name w:val="Абзац3"/>
    <w:basedOn w:val="a"/>
    <w:link w:val="37"/>
    <w:rsid w:val="000C5C90"/>
    <w:pPr>
      <w:tabs>
        <w:tab w:val="num" w:pos="2138"/>
      </w:tabs>
      <w:spacing w:after="0" w:line="240" w:lineRule="auto"/>
      <w:ind w:left="1032" w:hanging="352"/>
      <w:jc w:val="both"/>
    </w:pPr>
    <w:rPr>
      <w:rFonts w:ascii="Arial" w:hAnsi="Arial" w:cs="Arial"/>
      <w:sz w:val="24"/>
      <w:szCs w:val="24"/>
    </w:rPr>
  </w:style>
  <w:style w:type="character" w:customStyle="1" w:styleId="aff1">
    <w:name w:val="абзац Знак"/>
    <w:link w:val="aff2"/>
    <w:locked/>
    <w:rsid w:val="000C5C90"/>
    <w:rPr>
      <w:rFonts w:ascii="Arial" w:hAnsi="Arial" w:cs="Arial"/>
      <w:iCs/>
      <w:snapToGrid w:val="0"/>
      <w:sz w:val="24"/>
    </w:rPr>
  </w:style>
  <w:style w:type="paragraph" w:customStyle="1" w:styleId="aff2">
    <w:name w:val="абзац"/>
    <w:basedOn w:val="a"/>
    <w:link w:val="aff1"/>
    <w:autoRedefine/>
    <w:rsid w:val="000C5C90"/>
    <w:pPr>
      <w:widowControl w:val="0"/>
      <w:snapToGrid w:val="0"/>
      <w:spacing w:after="0" w:line="240" w:lineRule="auto"/>
      <w:ind w:firstLine="567"/>
      <w:jc w:val="both"/>
      <w:outlineLvl w:val="0"/>
    </w:pPr>
    <w:rPr>
      <w:rFonts w:ascii="Arial" w:hAnsi="Arial" w:cs="Arial"/>
      <w:iCs/>
      <w:snapToGrid w:val="0"/>
      <w:sz w:val="24"/>
    </w:rPr>
  </w:style>
  <w:style w:type="paragraph" w:customStyle="1" w:styleId="Iauiue">
    <w:name w:val="Iau?iue"/>
    <w:rsid w:val="000C5C9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Indent3">
    <w:name w:val="Body Text Indent 3"/>
    <w:basedOn w:val="a"/>
    <w:rsid w:val="000C5C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Normal0">
    <w:name w:val="Normal"/>
    <w:rsid w:val="000C5C90"/>
    <w:pPr>
      <w:widowControl w:val="0"/>
      <w:snapToGrid w:val="0"/>
      <w:spacing w:before="500" w:after="0"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3">
    <w:name w:val="Знак Знак Знак Знак Знак Знак Знак Знак Знак Знак"/>
    <w:basedOn w:val="a"/>
    <w:rsid w:val="000C5C90"/>
    <w:pPr>
      <w:spacing w:line="240" w:lineRule="exact"/>
      <w:ind w:firstLine="567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Title">
    <w:name w:val="Title!Название НПА"/>
    <w:basedOn w:val="a"/>
    <w:rsid w:val="000C5C90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0C5C9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0C5C9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0C5C9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FR1">
    <w:name w:val="FR1"/>
    <w:rsid w:val="000C5C90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normal-c5">
    <w:name w:val="normal-c5"/>
    <w:basedOn w:val="a0"/>
    <w:rsid w:val="000C5C90"/>
  </w:style>
  <w:style w:type="character" w:customStyle="1" w:styleId="81">
    <w:name w:val="Знак Знак8"/>
    <w:rsid w:val="000C5C90"/>
    <w:rPr>
      <w:sz w:val="26"/>
      <w:szCs w:val="26"/>
    </w:rPr>
  </w:style>
  <w:style w:type="character" w:customStyle="1" w:styleId="apple-style-span">
    <w:name w:val="apple-style-span"/>
    <w:basedOn w:val="a0"/>
    <w:rsid w:val="000C5C90"/>
  </w:style>
  <w:style w:type="character" w:customStyle="1" w:styleId="130">
    <w:name w:val="Знак Знак13"/>
    <w:rsid w:val="000C5C90"/>
    <w:rPr>
      <w:b/>
      <w:bCs/>
      <w:sz w:val="26"/>
      <w:szCs w:val="28"/>
      <w:lang w:val="ru-RU" w:eastAsia="ru-RU" w:bidi="ar-SA"/>
    </w:rPr>
  </w:style>
  <w:style w:type="character" w:customStyle="1" w:styleId="120">
    <w:name w:val="Знак Знак12"/>
    <w:rsid w:val="000C5C90"/>
    <w:rPr>
      <w:b/>
      <w:bCs/>
      <w:sz w:val="26"/>
      <w:szCs w:val="24"/>
      <w:lang w:val="ru-RU" w:eastAsia="ru-RU" w:bidi="ar-SA"/>
    </w:rPr>
  </w:style>
  <w:style w:type="character" w:customStyle="1" w:styleId="91">
    <w:name w:val="Знак Знак9"/>
    <w:rsid w:val="000C5C90"/>
    <w:rPr>
      <w:b/>
      <w:bCs/>
      <w:sz w:val="22"/>
      <w:szCs w:val="22"/>
      <w:lang w:val="ru-RU" w:eastAsia="ru-RU" w:bidi="ar-SA"/>
    </w:rPr>
  </w:style>
  <w:style w:type="character" w:customStyle="1" w:styleId="paragraph">
    <w:name w:val="paragraph"/>
    <w:basedOn w:val="a0"/>
    <w:rsid w:val="000C5C90"/>
  </w:style>
  <w:style w:type="character" w:customStyle="1" w:styleId="39">
    <w:name w:val="Знак Знак3"/>
    <w:rsid w:val="000C5C90"/>
    <w:rPr>
      <w:sz w:val="26"/>
      <w:szCs w:val="2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9220</Words>
  <Characters>52556</Characters>
  <Application>Microsoft Office Word</Application>
  <DocSecurity>0</DocSecurity>
  <Lines>437</Lines>
  <Paragraphs>123</Paragraphs>
  <ScaleCrop>false</ScaleCrop>
  <Company/>
  <LinksUpToDate>false</LinksUpToDate>
  <CharactersWithSpaces>61653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2019-04-19T10:37:00Z</dcterms:created>
  <dcterms:modified xsi:type="dcterms:W3CDTF">2019-04-19T10:38:00Z</dcterms:modified>
</cp:coreProperties>
</file>