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Times New Roman"/>
          <w:noProof/>
          <w:sz w:val="26"/>
          <w:szCs w:val="24"/>
          <w:lang w:eastAsia="ru-RU"/>
        </w:rPr>
        <w:drawing>
          <wp:anchor distT="47625" distB="47625" distL="47625" distR="47625" simplePos="0" relativeHeight="251658240" behindDoc="0" locked="0" layoutInCell="1" allowOverlap="0">
            <wp:simplePos x="0" y="0"/>
            <wp:positionH relativeFrom="column">
              <wp:posOffset>2762250</wp:posOffset>
            </wp:positionH>
            <wp:positionV relativeFrom="line">
              <wp:posOffset>-114300</wp:posOffset>
            </wp:positionV>
            <wp:extent cx="709930" cy="876300"/>
            <wp:effectExtent l="0" t="0" r="0" b="0"/>
            <wp:wrapSquare wrapText="bothSides"/>
            <wp:docPr id="8" name="Рисунок 8" descr="Герб города Богуч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города Богуча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6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ind w:firstLine="709"/>
        <w:jc w:val="both"/>
        <w:outlineLvl w:val="1"/>
        <w:rPr>
          <w:rFonts w:asciiTheme="majorHAnsi" w:eastAsiaTheme="majorEastAsia" w:hAnsiTheme="majorHAnsi" w:cs="Arial"/>
          <w:color w:val="2E74B5" w:themeColor="accent1" w:themeShade="BF"/>
          <w:sz w:val="24"/>
          <w:szCs w:val="24"/>
          <w:lang w:eastAsia="ru-RU"/>
        </w:rPr>
      </w:pP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jc w:val="center"/>
        <w:outlineLvl w:val="1"/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val="x-none" w:eastAsia="ru-RU"/>
        </w:rPr>
      </w:pPr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>СОВЕТ НАРОДНЫХ ДЕПУТАТОВ</w:t>
      </w: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jc w:val="center"/>
        <w:outlineLvl w:val="1"/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</w:pPr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>ГОРОДСКОГО ПОСЕЛЕНИЯ – ГОРОД БОГУЧАР</w:t>
      </w: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jc w:val="center"/>
        <w:outlineLvl w:val="1"/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</w:pPr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>БОГУЧАРСКОГО МУНИЦИПАЛЬНОГО РАЙОНА</w:t>
      </w: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jc w:val="center"/>
        <w:outlineLvl w:val="1"/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</w:pPr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>ВОРОНЕЖСКОЙ ОБЛАСТИ</w:t>
      </w: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jc w:val="center"/>
        <w:outlineLvl w:val="1"/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</w:pPr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>РЕШЕНИЕ</w:t>
      </w: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jc w:val="both"/>
        <w:outlineLvl w:val="1"/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</w:pP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jc w:val="both"/>
        <w:outlineLvl w:val="1"/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</w:pPr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>от «29» декабря 2011 г. № 177</w:t>
      </w: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jc w:val="both"/>
        <w:outlineLvl w:val="1"/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</w:pPr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>г. Богучар</w:t>
      </w:r>
    </w:p>
    <w:p w:rsidR="002A27BC" w:rsidRPr="002A27BC" w:rsidRDefault="002A27BC" w:rsidP="002A27BC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kern w:val="28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</w:pPr>
      <w:r w:rsidRPr="002A27BC"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  <w:t>Об утверждении Генерального плана городского поселения – город Богучар Богучарского муниципального района Воронежской области</w:t>
      </w:r>
      <w:bookmarkStart w:id="0" w:name="_GoBack"/>
      <w:bookmarkEnd w:id="0"/>
    </w:p>
    <w:p w:rsidR="002A27BC" w:rsidRPr="002A27BC" w:rsidRDefault="002A27BC" w:rsidP="002A27BC">
      <w:pPr>
        <w:spacing w:after="0" w:line="24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(в редакции решений от 09.02.2016 № 35, от 21.10.2016 № 87)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городского поселения – город Богучар, с учетом решения публичных слушаний в городском поселении – город Богучар от 28.07.2011 № 6 «О проекте генерального плана городского поселения – город Богучар Богучарского муниципального района Воронежской области», Совет народных депутатов городского поселения – город Богучар решил: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1. Утвердить Генеральный план городского поселения – город Богучар Богучарского муниципального района Воронежской области (прилагается).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2. Обнародовать настоящее решение в городском поселении – город Богучар.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3. Контроль исполнения настоящего решения возложить на главу городского поселения – город Богучар Нежельского И.М.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8"/>
        <w:gridCol w:w="3209"/>
        <w:gridCol w:w="3242"/>
      </w:tblGrid>
      <w:tr w:rsidR="002A27BC" w:rsidRPr="002A27BC" w:rsidTr="002A27BC">
        <w:tc>
          <w:tcPr>
            <w:tcW w:w="3284" w:type="dxa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Глава городского поселения – город Богучар</w:t>
            </w:r>
          </w:p>
        </w:tc>
        <w:tc>
          <w:tcPr>
            <w:tcW w:w="3285" w:type="dxa"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И.М. Нежельский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2A27BC" w:rsidRPr="002A27BC" w:rsidRDefault="002A27BC" w:rsidP="002A27BC">
      <w:pPr>
        <w:suppressAutoHyphens/>
        <w:spacing w:after="0" w:line="240" w:lineRule="auto"/>
        <w:ind w:firstLine="709"/>
        <w:jc w:val="right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Calibri" w:eastAsia="Calibri" w:hAnsi="Calibri" w:cs="Arial"/>
          <w:color w:val="000000"/>
          <w:kern w:val="24"/>
          <w:sz w:val="24"/>
          <w:szCs w:val="24"/>
        </w:rPr>
        <w:br w:type="page"/>
      </w:r>
      <w:r w:rsidRPr="002A27BC">
        <w:rPr>
          <w:rFonts w:ascii="Arial" w:eastAsia="Calibri" w:hAnsi="Arial" w:cs="Arial"/>
          <w:kern w:val="24"/>
          <w:sz w:val="24"/>
          <w:szCs w:val="24"/>
        </w:rPr>
        <w:t xml:space="preserve">Приложение 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right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 xml:space="preserve">К ркшению Совета народных депутатов 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right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 xml:space="preserve">Городского поселения – город Богучар 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right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от 29.12.2011 № 177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</w:p>
    <w:p w:rsidR="002A27BC" w:rsidRPr="002A27BC" w:rsidRDefault="002A27BC" w:rsidP="002A27BC">
      <w:pPr>
        <w:suppressAutoHyphens/>
        <w:spacing w:after="0" w:line="240" w:lineRule="auto"/>
        <w:jc w:val="center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ОАО «ВОРОНЕЖПРОЕКТ»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jc w:val="center"/>
        <w:outlineLvl w:val="0"/>
        <w:rPr>
          <w:rFonts w:ascii="Arial" w:eastAsia="Times New Roman" w:hAnsi="Arial" w:cs="Arial"/>
          <w:caps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 xml:space="preserve">Генеральный план </w:t>
      </w:r>
    </w:p>
    <w:p w:rsidR="002A27BC" w:rsidRPr="002A27BC" w:rsidRDefault="002A27BC" w:rsidP="002A27BC">
      <w:pPr>
        <w:spacing w:after="0" w:line="240" w:lineRule="auto"/>
        <w:jc w:val="center"/>
        <w:outlineLvl w:val="0"/>
        <w:rPr>
          <w:rFonts w:ascii="Arial" w:eastAsia="Times New Roman" w:hAnsi="Arial" w:cs="Arial"/>
          <w:caps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городского поселения - город Богучар Богучарского муниципального района Воронежской области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sz w:val="24"/>
          <w:szCs w:val="24"/>
          <w:lang w:eastAsia="ar-SA"/>
        </w:rPr>
      </w:pPr>
    </w:p>
    <w:p w:rsidR="002A27BC" w:rsidRPr="002A27BC" w:rsidRDefault="002A27BC" w:rsidP="002A27BC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2A27BC">
        <w:rPr>
          <w:rFonts w:ascii="Arial" w:eastAsia="Times New Roman" w:hAnsi="Arial" w:cs="Arial"/>
          <w:sz w:val="24"/>
          <w:szCs w:val="24"/>
          <w:lang w:eastAsia="ar-SA"/>
        </w:rPr>
        <w:t>Том I</w:t>
      </w:r>
    </w:p>
    <w:p w:rsidR="002A27BC" w:rsidRPr="002A27BC" w:rsidRDefault="002A27BC" w:rsidP="002A27BC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</w:p>
    <w:p w:rsidR="002A27BC" w:rsidRPr="002A27BC" w:rsidRDefault="002A27BC" w:rsidP="002A27BC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2A27BC">
        <w:rPr>
          <w:rFonts w:ascii="Arial" w:eastAsia="Times New Roman" w:hAnsi="Arial" w:cs="Arial"/>
          <w:sz w:val="24"/>
          <w:szCs w:val="24"/>
          <w:lang w:eastAsia="ar-SA"/>
        </w:rPr>
        <w:t>Положения о территориальном планировании.</w:t>
      </w:r>
    </w:p>
    <w:p w:rsidR="002A27BC" w:rsidRPr="002A27BC" w:rsidRDefault="002A27BC" w:rsidP="002A27BC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</w:p>
    <w:p w:rsidR="002A27BC" w:rsidRPr="002A27BC" w:rsidRDefault="002A27BC" w:rsidP="002A27BC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15645 - ПЗ</w:t>
      </w:r>
    </w:p>
    <w:p w:rsidR="002A27BC" w:rsidRPr="002A27BC" w:rsidRDefault="002A27BC" w:rsidP="002A27BC">
      <w:pPr>
        <w:spacing w:after="0" w:line="240" w:lineRule="auto"/>
        <w:jc w:val="center"/>
        <w:outlineLvl w:val="0"/>
        <w:rPr>
          <w:rFonts w:ascii="Arial" w:eastAsia="Times New Roman" w:hAnsi="Arial" w:cs="Arial"/>
          <w:caps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Пояснительная записка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Воронеж 2010 г.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Calibri" w:eastAsia="Calibri" w:hAnsi="Calibri" w:cs="Arial"/>
          <w:color w:val="000000"/>
          <w:kern w:val="24"/>
          <w:sz w:val="24"/>
          <w:szCs w:val="24"/>
          <w:lang w:eastAsia="ar-SA"/>
        </w:rPr>
        <w:br w:type="page"/>
      </w:r>
      <w:r w:rsidRPr="002A27BC">
        <w:rPr>
          <w:rFonts w:ascii="Arial" w:eastAsia="Calibri" w:hAnsi="Arial" w:cs="Arial"/>
          <w:kern w:val="24"/>
          <w:sz w:val="24"/>
          <w:szCs w:val="24"/>
        </w:rPr>
        <w:t>ОАО «ВОРОНЕЖПРОЕКТ»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caps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caps/>
          <w:sz w:val="24"/>
          <w:szCs w:val="24"/>
          <w:lang w:eastAsia="ru-RU"/>
        </w:rPr>
        <w:t>Генеральный план городского поселения - город Богучар Богучарского муниципального района Воронежской области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caps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2A27BC">
        <w:rPr>
          <w:rFonts w:ascii="Arial" w:eastAsia="Times New Roman" w:hAnsi="Arial" w:cs="Arial"/>
          <w:sz w:val="24"/>
          <w:szCs w:val="24"/>
          <w:lang w:eastAsia="ar-SA"/>
        </w:rPr>
        <w:t>Том I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2A27BC">
        <w:rPr>
          <w:rFonts w:ascii="Arial" w:eastAsia="Times New Roman" w:hAnsi="Arial" w:cs="Arial"/>
          <w:sz w:val="24"/>
          <w:szCs w:val="24"/>
          <w:lang w:eastAsia="ar-SA"/>
        </w:rPr>
        <w:t>Положения о территориальном планировании.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caps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15645 - ПЗ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caps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Пояснительная записка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Генеральный директор Л.А. Подшивалова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Главный инженер Л.А. Митин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Главный архитектор М.В. Паничев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Главный инженер проекта Е.М. Иванова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300"/>
      </w:tblGrid>
      <w:tr w:rsidR="002A27BC" w:rsidRPr="002A27BC" w:rsidTr="002A27BC">
        <w:trPr>
          <w:jc w:val="center"/>
        </w:trPr>
        <w:tc>
          <w:tcPr>
            <w:tcW w:w="7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7BC" w:rsidRPr="002A27BC" w:rsidRDefault="002A27BC" w:rsidP="002A27BC">
            <w:pPr>
              <w:spacing w:after="0" w:line="240" w:lineRule="auto"/>
              <w:ind w:firstLine="709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2A27BC" w:rsidRPr="002A27BC" w:rsidRDefault="002A27BC" w:rsidP="002A27BC">
            <w:pPr>
              <w:spacing w:after="0" w:line="240" w:lineRule="auto"/>
              <w:ind w:firstLine="709"/>
              <w:jc w:val="both"/>
              <w:outlineLvl w:val="0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Свидетельство</w:t>
            </w:r>
          </w:p>
          <w:p w:rsidR="002A27BC" w:rsidRPr="002A27BC" w:rsidRDefault="002A27BC" w:rsidP="002A27BC">
            <w:pPr>
              <w:spacing w:after="0" w:line="240" w:lineRule="auto"/>
              <w:ind w:firstLine="709"/>
              <w:jc w:val="both"/>
              <w:outlineLvl w:val="0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СРО-П-015-11082009</w:t>
            </w:r>
          </w:p>
          <w:p w:rsidR="002A27BC" w:rsidRPr="002A27BC" w:rsidRDefault="002A27BC" w:rsidP="002A27BC">
            <w:pPr>
              <w:spacing w:after="0" w:line="240" w:lineRule="auto"/>
              <w:ind w:firstLine="709"/>
              <w:jc w:val="both"/>
              <w:outlineLvl w:val="0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№ 001-П-3666025853</w:t>
            </w:r>
          </w:p>
          <w:p w:rsidR="002A27BC" w:rsidRPr="002A27BC" w:rsidRDefault="002A27BC" w:rsidP="002A27BC">
            <w:pPr>
              <w:spacing w:after="0" w:line="240" w:lineRule="auto"/>
              <w:ind w:firstLine="709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Воронеж 2010 г.</w:t>
      </w:r>
    </w:p>
    <w:tbl>
      <w:tblPr>
        <w:tblW w:w="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6"/>
      </w:tblGrid>
      <w:tr w:rsidR="002A27BC" w:rsidRPr="002A27BC" w:rsidTr="002A27BC">
        <w:trPr>
          <w:trHeight w:val="11085"/>
        </w:trPr>
        <w:tc>
          <w:tcPr>
            <w:tcW w:w="10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br w:type="page"/>
              <w:t>Состав проекта</w:t>
            </w:r>
          </w:p>
          <w:tbl>
            <w:tblPr>
              <w:tblW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6804"/>
              <w:gridCol w:w="1719"/>
            </w:tblGrid>
            <w:tr w:rsidR="002A27BC" w:rsidRPr="002A27BC">
              <w:trPr>
                <w:trHeight w:val="644"/>
              </w:trPr>
              <w:tc>
                <w:tcPr>
                  <w:tcW w:w="17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Обозначение</w:t>
                  </w:r>
                </w:p>
              </w:tc>
              <w:tc>
                <w:tcPr>
                  <w:tcW w:w="6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Примечание</w:t>
                  </w:r>
                </w:p>
              </w:tc>
            </w:tr>
            <w:tr w:rsidR="002A27BC" w:rsidRPr="002A27BC">
              <w:tc>
                <w:tcPr>
                  <w:tcW w:w="173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  <w:t>Том I</w:t>
                  </w:r>
                </w:p>
              </w:tc>
              <w:tc>
                <w:tcPr>
                  <w:tcW w:w="6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Положение о территориальном планировании </w:t>
                  </w:r>
                  <w:r w:rsidRPr="002A27BC">
                    <w:rPr>
                      <w:rFonts w:ascii="Arial" w:eastAsia="Times New Roman" w:hAnsi="Arial" w:cs="Arial"/>
                      <w:iCs/>
                      <w:sz w:val="24"/>
                      <w:szCs w:val="24"/>
                      <w:lang w:eastAsia="ru-RU"/>
                    </w:rPr>
                    <w:t>(пояснительная записка)</w:t>
                  </w:r>
                </w:p>
              </w:tc>
              <w:tc>
                <w:tcPr>
                  <w:tcW w:w="1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caps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15645 - </w:t>
                  </w:r>
                  <w:r w:rsidRPr="002A27BC">
                    <w:rPr>
                      <w:rFonts w:ascii="Arial" w:eastAsia="Times New Roman" w:hAnsi="Arial" w:cs="Arial"/>
                      <w:caps/>
                      <w:sz w:val="24"/>
                      <w:szCs w:val="24"/>
                      <w:lang w:eastAsia="ru-RU"/>
                    </w:rPr>
                    <w:t>ПЗ</w:t>
                  </w: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2A27BC" w:rsidRPr="002A27BC">
              <w:trPr>
                <w:trHeight w:val="340"/>
              </w:trPr>
              <w:tc>
                <w:tcPr>
                  <w:tcW w:w="173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iCs/>
                      <w:sz w:val="24"/>
                      <w:szCs w:val="24"/>
                      <w:lang w:eastAsia="ru-RU"/>
                    </w:rPr>
                    <w:t>Графические материалы:</w:t>
                  </w:r>
                </w:p>
              </w:tc>
              <w:tc>
                <w:tcPr>
                  <w:tcW w:w="171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27BC" w:rsidRPr="002A27BC">
              <w:trPr>
                <w:trHeight w:val="270"/>
              </w:trPr>
              <w:tc>
                <w:tcPr>
                  <w:tcW w:w="173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804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2A27BC" w:rsidRPr="002A27BC" w:rsidRDefault="002A27BC" w:rsidP="002A27BC">
                  <w:pPr>
                    <w:widowControl w:val="0"/>
                    <w:suppressAutoHyphens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iCs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Схема генерального плана. М 1:10000</w:t>
                  </w:r>
                </w:p>
              </w:tc>
              <w:tc>
                <w:tcPr>
                  <w:tcW w:w="1719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ГП-2</w:t>
                  </w:r>
                </w:p>
              </w:tc>
            </w:tr>
            <w:tr w:rsidR="002A27BC" w:rsidRPr="002A27BC">
              <w:tc>
                <w:tcPr>
                  <w:tcW w:w="173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  <w:t>Том II</w:t>
                  </w:r>
                </w:p>
              </w:tc>
              <w:tc>
                <w:tcPr>
                  <w:tcW w:w="6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Обоснование проекта генерального плана </w:t>
                  </w:r>
                  <w:r w:rsidRPr="002A27BC">
                    <w:rPr>
                      <w:rFonts w:ascii="Arial" w:eastAsia="Times New Roman" w:hAnsi="Arial" w:cs="Arial"/>
                      <w:iCs/>
                      <w:sz w:val="24"/>
                      <w:szCs w:val="24"/>
                      <w:lang w:eastAsia="ru-RU"/>
                    </w:rPr>
                    <w:t>(пояснительная записка)</w:t>
                  </w:r>
                </w:p>
              </w:tc>
              <w:tc>
                <w:tcPr>
                  <w:tcW w:w="1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caps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15645 - </w:t>
                  </w:r>
                  <w:r w:rsidRPr="002A27BC">
                    <w:rPr>
                      <w:rFonts w:ascii="Arial" w:eastAsia="Times New Roman" w:hAnsi="Arial" w:cs="Arial"/>
                      <w:caps/>
                      <w:sz w:val="24"/>
                      <w:szCs w:val="24"/>
                      <w:lang w:eastAsia="ru-RU"/>
                    </w:rPr>
                    <w:t>ПЗ</w:t>
                  </w:r>
                </w:p>
              </w:tc>
            </w:tr>
            <w:tr w:rsidR="002A27BC" w:rsidRPr="002A27BC">
              <w:trPr>
                <w:trHeight w:val="327"/>
              </w:trPr>
              <w:tc>
                <w:tcPr>
                  <w:tcW w:w="173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iCs/>
                      <w:sz w:val="24"/>
                      <w:szCs w:val="24"/>
                      <w:lang w:eastAsia="ru-RU"/>
                    </w:rPr>
                    <w:t>Графические материалы:</w:t>
                  </w:r>
                </w:p>
              </w:tc>
              <w:tc>
                <w:tcPr>
                  <w:tcW w:w="171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27BC" w:rsidRPr="002A27BC">
              <w:trPr>
                <w:trHeight w:val="530"/>
              </w:trPr>
              <w:tc>
                <w:tcPr>
                  <w:tcW w:w="173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804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2A27BC" w:rsidRPr="002A27BC" w:rsidRDefault="002A27BC" w:rsidP="002A27BC">
                  <w:pPr>
                    <w:widowControl w:val="0"/>
                    <w:suppressAutoHyphens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iCs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Схема современного использования и комплексной оценки территории. М 1:10000</w:t>
                  </w:r>
                </w:p>
              </w:tc>
              <w:tc>
                <w:tcPr>
                  <w:tcW w:w="1719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ГП-1</w:t>
                  </w:r>
                </w:p>
              </w:tc>
            </w:tr>
            <w:tr w:rsidR="002A27BC" w:rsidRPr="002A27BC">
              <w:trPr>
                <w:trHeight w:val="285"/>
              </w:trPr>
              <w:tc>
                <w:tcPr>
                  <w:tcW w:w="173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804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2A27BC" w:rsidRPr="002A27BC" w:rsidRDefault="002A27BC" w:rsidP="002A27BC">
                  <w:pPr>
                    <w:widowControl w:val="0"/>
                    <w:suppressAutoHyphens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Схема генерального плана. М 1:10000</w:t>
                  </w:r>
                </w:p>
              </w:tc>
              <w:tc>
                <w:tcPr>
                  <w:tcW w:w="1719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ГП-2</w:t>
                  </w:r>
                </w:p>
              </w:tc>
            </w:tr>
            <w:tr w:rsidR="002A27BC" w:rsidRPr="002A27BC">
              <w:trPr>
                <w:trHeight w:val="179"/>
              </w:trPr>
              <w:tc>
                <w:tcPr>
                  <w:tcW w:w="173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804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2A27BC" w:rsidRPr="002A27BC" w:rsidRDefault="002A27BC" w:rsidP="002A27BC">
                  <w:pPr>
                    <w:widowControl w:val="0"/>
                    <w:suppressAutoHyphens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Схема развития транспортной инфраструктуры. М 1:10000</w:t>
                  </w:r>
                </w:p>
              </w:tc>
              <w:tc>
                <w:tcPr>
                  <w:tcW w:w="1719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ГП-3</w:t>
                  </w:r>
                </w:p>
              </w:tc>
            </w:tr>
            <w:tr w:rsidR="002A27BC" w:rsidRPr="002A27BC">
              <w:trPr>
                <w:trHeight w:val="247"/>
              </w:trPr>
              <w:tc>
                <w:tcPr>
                  <w:tcW w:w="173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80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Схема развития инженерной инфраструктуры. М 1:10 000</w:t>
                  </w:r>
                </w:p>
              </w:tc>
              <w:tc>
                <w:tcPr>
                  <w:tcW w:w="17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ГП-4</w:t>
                  </w:r>
                </w:p>
              </w:tc>
            </w:tr>
            <w:tr w:rsidR="002A27BC" w:rsidRPr="002A27BC">
              <w:tc>
                <w:tcPr>
                  <w:tcW w:w="17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  <w:t>Том III</w:t>
                  </w:r>
                </w:p>
              </w:tc>
              <w:tc>
                <w:tcPr>
                  <w:tcW w:w="6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Перечень основных факторов риска возникновения чрезвычайных ситуаций природного и техногенного характера</w:t>
                  </w:r>
                </w:p>
              </w:tc>
              <w:tc>
                <w:tcPr>
                  <w:tcW w:w="1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tbl>
            <w:tblPr>
              <w:tblW w:w="0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470"/>
              <w:gridCol w:w="915"/>
              <w:gridCol w:w="441"/>
              <w:gridCol w:w="984"/>
              <w:gridCol w:w="570"/>
              <w:gridCol w:w="570"/>
              <w:gridCol w:w="2963"/>
              <w:gridCol w:w="857"/>
              <w:gridCol w:w="856"/>
              <w:gridCol w:w="1627"/>
            </w:tblGrid>
            <w:tr w:rsidR="002A27BC" w:rsidRPr="002A27BC">
              <w:trPr>
                <w:cantSplit/>
                <w:trHeight w:val="337"/>
              </w:trPr>
              <w:tc>
                <w:tcPr>
                  <w:tcW w:w="4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303" w:type="dxa"/>
                  <w:gridSpan w:val="4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caps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15645 - </w:t>
                  </w:r>
                  <w:r w:rsidRPr="002A27BC">
                    <w:rPr>
                      <w:rFonts w:ascii="Arial" w:eastAsia="Times New Roman" w:hAnsi="Arial" w:cs="Arial"/>
                      <w:caps/>
                      <w:sz w:val="24"/>
                      <w:szCs w:val="24"/>
                      <w:lang w:eastAsia="ru-RU"/>
                    </w:rPr>
                    <w:t>ПЗ</w:t>
                  </w:r>
                </w:p>
              </w:tc>
            </w:tr>
            <w:tr w:rsidR="002A27BC" w:rsidRPr="002A27BC">
              <w:trPr>
                <w:cantSplit/>
                <w:trHeight w:hRule="exact" w:val="272"/>
              </w:trPr>
              <w:tc>
                <w:tcPr>
                  <w:tcW w:w="4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Изм</w:t>
                  </w:r>
                </w:p>
              </w:tc>
              <w:tc>
                <w:tcPr>
                  <w:tcW w:w="9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Кол.уч</w:t>
                  </w:r>
                </w:p>
              </w:tc>
              <w:tc>
                <w:tcPr>
                  <w:tcW w:w="4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Лист</w:t>
                  </w:r>
                </w:p>
              </w:tc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№ док.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Подп.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Дата</w:t>
                  </w:r>
                </w:p>
              </w:tc>
              <w:tc>
                <w:tcPr>
                  <w:tcW w:w="12126" w:type="dxa"/>
                  <w:gridSpan w:val="4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cap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27BC" w:rsidRPr="002A27BC">
              <w:trPr>
                <w:cantSplit/>
                <w:trHeight w:hRule="exact" w:val="240"/>
              </w:trPr>
              <w:tc>
                <w:tcPr>
                  <w:tcW w:w="138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ГИП</w:t>
                  </w: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Е.М. Иванова 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6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  <w:t>Пояснительная записка</w:t>
                  </w:r>
                </w:p>
              </w:tc>
              <w:tc>
                <w:tcPr>
                  <w:tcW w:w="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Стадия</w:t>
                  </w:r>
                </w:p>
              </w:tc>
              <w:tc>
                <w:tcPr>
                  <w:tcW w:w="8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Лист</w:t>
                  </w:r>
                </w:p>
              </w:tc>
              <w:tc>
                <w:tcPr>
                  <w:tcW w:w="16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Листов</w:t>
                  </w:r>
                </w:p>
              </w:tc>
            </w:tr>
            <w:tr w:rsidR="002A27BC" w:rsidRPr="002A27BC">
              <w:trPr>
                <w:cantSplit/>
                <w:trHeight w:val="50"/>
              </w:trPr>
              <w:tc>
                <w:tcPr>
                  <w:tcW w:w="138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ГАО</w:t>
                  </w: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Ю.М. Власов </w:t>
                  </w: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30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ГП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627" w:type="dxa"/>
                  <w:tcBorders>
                    <w:top w:val="single" w:sz="4" w:space="0" w:color="auto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</w:tr>
            <w:tr w:rsidR="002A27BC" w:rsidRPr="002A27BC">
              <w:trPr>
                <w:cantSplit/>
                <w:trHeight w:val="77"/>
              </w:trPr>
              <w:tc>
                <w:tcPr>
                  <w:tcW w:w="138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Архитекторы</w:t>
                  </w: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К.Ю. Кузнецов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30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0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  <w:t>ОАО «Воронежпроект»</w:t>
                  </w:r>
                </w:p>
              </w:tc>
            </w:tr>
            <w:tr w:rsidR="002A27BC" w:rsidRPr="002A27BC">
              <w:trPr>
                <w:cantSplit/>
                <w:trHeight w:val="104"/>
              </w:trPr>
              <w:tc>
                <w:tcPr>
                  <w:tcW w:w="1385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Инженеры</w:t>
                  </w: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И.В. Кондакова </w:t>
                  </w: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30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823" w:type="dxa"/>
                  <w:gridSpan w:val="3"/>
                  <w:vMerge/>
                  <w:tcBorders>
                    <w:top w:val="single" w:sz="4" w:space="0" w:color="auto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27BC" w:rsidRPr="002A27BC">
              <w:trPr>
                <w:cantSplit/>
                <w:trHeight w:val="253"/>
              </w:trPr>
              <w:tc>
                <w:tcPr>
                  <w:tcW w:w="2300" w:type="dxa"/>
                  <w:gridSpan w:val="2"/>
                  <w:vMerge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Т.Б. Адоньева </w:t>
                  </w: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30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823" w:type="dxa"/>
                  <w:gridSpan w:val="3"/>
                  <w:vMerge/>
                  <w:tcBorders>
                    <w:top w:val="single" w:sz="4" w:space="0" w:color="auto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27BC" w:rsidRPr="002A27BC">
              <w:trPr>
                <w:cantSplit/>
                <w:trHeight w:val="207"/>
              </w:trPr>
              <w:tc>
                <w:tcPr>
                  <w:tcW w:w="2300" w:type="dxa"/>
                  <w:gridSpan w:val="2"/>
                  <w:vMerge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И.В. Киселева</w:t>
                  </w: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30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823" w:type="dxa"/>
                  <w:gridSpan w:val="3"/>
                  <w:vMerge/>
                  <w:tcBorders>
                    <w:top w:val="single" w:sz="4" w:space="0" w:color="auto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27BC" w:rsidRPr="002A27BC">
              <w:trPr>
                <w:cantSplit/>
                <w:trHeight w:val="212"/>
              </w:trPr>
              <w:tc>
                <w:tcPr>
                  <w:tcW w:w="2300" w:type="dxa"/>
                  <w:gridSpan w:val="2"/>
                  <w:vMerge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Е.В. Сыряная</w:t>
                  </w: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30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823" w:type="dxa"/>
                  <w:gridSpan w:val="3"/>
                  <w:vMerge/>
                  <w:tcBorders>
                    <w:top w:val="single" w:sz="4" w:space="0" w:color="auto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27BC" w:rsidRPr="002A27BC">
              <w:trPr>
                <w:cantSplit/>
                <w:trHeight w:hRule="exact" w:val="217"/>
              </w:trPr>
              <w:tc>
                <w:tcPr>
                  <w:tcW w:w="2300" w:type="dxa"/>
                  <w:gridSpan w:val="2"/>
                  <w:vMerge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М.В. Колюжная 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30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823" w:type="dxa"/>
                  <w:gridSpan w:val="3"/>
                  <w:vMerge/>
                  <w:tcBorders>
                    <w:top w:val="single" w:sz="4" w:space="0" w:color="auto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27BC" w:rsidRPr="002A27BC">
              <w:trPr>
                <w:cantSplit/>
                <w:trHeight w:hRule="exact" w:val="217"/>
              </w:trPr>
              <w:tc>
                <w:tcPr>
                  <w:tcW w:w="2300" w:type="dxa"/>
                  <w:gridSpan w:val="2"/>
                  <w:vMerge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Т.А. Яковлева 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30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823" w:type="dxa"/>
                  <w:gridSpan w:val="3"/>
                  <w:vMerge/>
                  <w:tcBorders>
                    <w:top w:val="single" w:sz="4" w:space="0" w:color="auto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A27BC" w:rsidRPr="002A27BC">
              <w:trPr>
                <w:cantSplit/>
                <w:trHeight w:val="197"/>
              </w:trPr>
              <w:tc>
                <w:tcPr>
                  <w:tcW w:w="2300" w:type="dxa"/>
                  <w:gridSpan w:val="2"/>
                  <w:vMerge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2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2A27BC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Г.И. Власова 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2A27BC" w:rsidRPr="002A27BC" w:rsidRDefault="002A27BC" w:rsidP="002A27BC">
                  <w:pPr>
                    <w:tabs>
                      <w:tab w:val="center" w:pos="4677"/>
                      <w:tab w:val="right" w:pos="9355"/>
                    </w:tabs>
                    <w:snapToGrid w:val="0"/>
                    <w:spacing w:after="0" w:line="240" w:lineRule="auto"/>
                    <w:jc w:val="both"/>
                    <w:outlineLvl w:val="0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30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823" w:type="dxa"/>
                  <w:gridSpan w:val="3"/>
                  <w:vMerge/>
                  <w:tcBorders>
                    <w:top w:val="single" w:sz="4" w:space="0" w:color="auto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2A27BC" w:rsidRPr="002A27BC" w:rsidRDefault="002A27BC" w:rsidP="002A27B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</w:tr>
    </w:tbl>
    <w:p w:rsidR="002A27BC" w:rsidRPr="002A27BC" w:rsidRDefault="002A27BC" w:rsidP="002A27BC">
      <w:pPr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br w:type="page"/>
        <w:t>Содержание Тома I: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</w:p>
    <w:p w:rsidR="002A27BC" w:rsidRPr="002A27BC" w:rsidRDefault="002A27BC" w:rsidP="002A27BC">
      <w:pPr>
        <w:tabs>
          <w:tab w:val="right" w:leader="dot" w:pos="9627"/>
        </w:tabs>
        <w:snapToGri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bCs/>
          <w:noProof/>
          <w:sz w:val="24"/>
          <w:szCs w:val="24"/>
          <w:lang w:eastAsia="ru-RU"/>
        </w:rPr>
        <w:t>1. Цели и задачи территориального планирования</w:t>
      </w:r>
      <w:r w:rsidRPr="002A27BC">
        <w:rPr>
          <w:rFonts w:ascii="Arial" w:eastAsiaTheme="majorEastAsia" w:hAnsi="Arial" w:cs="Arial"/>
          <w:bCs/>
          <w:noProof/>
          <w:kern w:val="2"/>
          <w:sz w:val="24"/>
          <w:szCs w:val="24"/>
          <w:lang w:eastAsia="ar-SA"/>
        </w:rPr>
        <w:t>.</w:t>
      </w:r>
      <w:r w:rsidRPr="002A27BC">
        <w:rPr>
          <w:rFonts w:ascii="Arial" w:eastAsia="Times New Roman" w:hAnsi="Arial" w:cs="Arial"/>
          <w:bCs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noProof/>
          <w:sz w:val="24"/>
          <w:szCs w:val="24"/>
          <w:lang w:eastAsia="ru-RU"/>
        </w:rPr>
        <w:t>1.1. Общие положения.</w:t>
      </w:r>
      <w:r w:rsidRPr="002A27BC">
        <w:rPr>
          <w:rFonts w:ascii="Arial" w:eastAsia="Times New Roman" w:hAnsi="Arial" w:cs="Arial"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noProof/>
          <w:sz w:val="24"/>
          <w:szCs w:val="24"/>
          <w:lang w:eastAsia="ru-RU"/>
        </w:rPr>
        <w:t>1.2. Цели и задачи территориального планирования городского поселения – город Богучар.</w:t>
      </w:r>
      <w:r w:rsidRPr="002A27BC">
        <w:rPr>
          <w:rFonts w:ascii="Arial" w:eastAsia="Times New Roman" w:hAnsi="Arial" w:cs="Arial"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noProof/>
          <w:sz w:val="24"/>
          <w:szCs w:val="24"/>
          <w:lang w:eastAsia="ar-SA"/>
        </w:rPr>
        <w:t xml:space="preserve">1.3. </w:t>
      </w:r>
      <w:r w:rsidRPr="002A27BC">
        <w:rPr>
          <w:rFonts w:ascii="Arial" w:eastAsiaTheme="majorEastAsia" w:hAnsi="Arial" w:cs="Arial"/>
          <w:noProof/>
          <w:sz w:val="24"/>
          <w:szCs w:val="24"/>
          <w:lang w:eastAsia="ru-RU"/>
        </w:rPr>
        <w:t>Интересы Российской Федерации, Воронежской области, Богучарского муниципального района при осуществлении территориального планирования городского поселения – город Богучар.</w:t>
      </w:r>
      <w:r w:rsidRPr="002A27BC">
        <w:rPr>
          <w:rFonts w:ascii="Arial" w:eastAsia="Times New Roman" w:hAnsi="Arial" w:cs="Arial"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noProof/>
          <w:sz w:val="24"/>
          <w:szCs w:val="24"/>
          <w:lang w:eastAsia="ru-RU"/>
        </w:rPr>
        <w:t>1.4. Задачи по сохранению объектов культурного наследия.</w:t>
      </w:r>
      <w:r w:rsidRPr="002A27BC">
        <w:rPr>
          <w:rFonts w:ascii="Arial" w:eastAsia="Times New Roman" w:hAnsi="Arial" w:cs="Arial"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napToGri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bCs/>
          <w:noProof/>
          <w:kern w:val="32"/>
          <w:sz w:val="24"/>
          <w:szCs w:val="24"/>
          <w:lang w:eastAsia="ru-RU"/>
        </w:rPr>
        <w:t>2. Перечень мероприятий по территориальному планированию и указания на последовательность их выполнения.</w:t>
      </w:r>
      <w:r w:rsidRPr="002A27BC">
        <w:rPr>
          <w:rFonts w:ascii="Arial" w:eastAsia="Times New Roman" w:hAnsi="Arial" w:cs="Arial"/>
          <w:bCs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noProof/>
          <w:sz w:val="24"/>
          <w:szCs w:val="24"/>
          <w:lang w:eastAsia="ru-RU"/>
        </w:rPr>
        <w:t>2.1. Мероприятия по оптимизации административно-территориального устройства городского поселения – город Богучар.</w:t>
      </w:r>
      <w:r w:rsidRPr="002A27BC">
        <w:rPr>
          <w:rFonts w:ascii="Arial" w:eastAsia="Times New Roman" w:hAnsi="Arial" w:cs="Arial"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noProof/>
          <w:sz w:val="24"/>
          <w:szCs w:val="24"/>
          <w:lang w:eastAsia="ru-RU"/>
        </w:rPr>
        <w:t>2.2. Мероприятия по планировочной организации и функциональному зонированию территории городского поселения.</w:t>
      </w:r>
      <w:r w:rsidRPr="002A27BC">
        <w:rPr>
          <w:rFonts w:ascii="Arial" w:eastAsia="Times New Roman" w:hAnsi="Arial" w:cs="Arial"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noProof/>
          <w:sz w:val="24"/>
          <w:szCs w:val="24"/>
          <w:lang w:eastAsia="ru-RU"/>
        </w:rPr>
        <w:t>2.3. Мероприятия по решению вопросов местного значения поселения методами территориального планирования и размещение на территории поселения объектов капитального строительства.</w:t>
      </w:r>
      <w:r w:rsidRPr="002A27BC">
        <w:rPr>
          <w:rFonts w:ascii="Arial" w:eastAsia="Times New Roman" w:hAnsi="Arial" w:cs="Arial"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noProof/>
          <w:sz w:val="24"/>
          <w:szCs w:val="24"/>
          <w:lang w:eastAsia="ru-RU"/>
        </w:rPr>
        <w:t>2.3.1. Мероприятия по модернизации и развитию инженерной инфраструктуры городского поселения.</w:t>
      </w:r>
      <w:r w:rsidRPr="002A27BC">
        <w:rPr>
          <w:rFonts w:ascii="Arial" w:eastAsia="Times New Roman" w:hAnsi="Arial" w:cs="Arial"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noProof/>
          <w:sz w:val="24"/>
          <w:szCs w:val="24"/>
          <w:lang w:eastAsia="ru-RU"/>
        </w:rPr>
        <w:t>2.3.2. Мероприятия по обеспечению территории городского поселения объектами транспортной инфраструктуры.</w:t>
      </w:r>
      <w:r w:rsidRPr="002A27BC">
        <w:rPr>
          <w:rFonts w:ascii="Arial" w:eastAsia="Times New Roman" w:hAnsi="Arial" w:cs="Arial"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noProof/>
          <w:sz w:val="24"/>
          <w:szCs w:val="24"/>
          <w:lang w:eastAsia="ar-SA"/>
        </w:rPr>
        <w:t xml:space="preserve">2.3.3. </w:t>
      </w:r>
      <w:r w:rsidRPr="002A27BC">
        <w:rPr>
          <w:rFonts w:ascii="Arial" w:eastAsiaTheme="majorEastAsia" w:hAnsi="Arial" w:cs="Arial"/>
          <w:noProof/>
          <w:sz w:val="24"/>
          <w:szCs w:val="24"/>
          <w:lang w:eastAsia="ru-RU"/>
        </w:rPr>
        <w:t>Мероприятия по обеспечению территории городского поселения объектами жилищного строительства.</w:t>
      </w:r>
      <w:r w:rsidRPr="002A27BC">
        <w:rPr>
          <w:rFonts w:ascii="Arial" w:eastAsia="Times New Roman" w:hAnsi="Arial" w:cs="Arial"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iCs/>
          <w:noProof/>
          <w:sz w:val="24"/>
          <w:szCs w:val="24"/>
          <w:lang w:eastAsia="ar-SA"/>
        </w:rPr>
        <w:t>2.3</w:t>
      </w:r>
      <w:r w:rsidRPr="002A27BC">
        <w:rPr>
          <w:rFonts w:ascii="Arial" w:eastAsiaTheme="majorEastAsia" w:hAnsi="Arial" w:cs="Arial"/>
          <w:noProof/>
          <w:sz w:val="24"/>
          <w:szCs w:val="24"/>
          <w:lang w:eastAsia="ar-SA"/>
        </w:rPr>
        <w:t xml:space="preserve">.4. </w:t>
      </w:r>
      <w:r w:rsidRPr="002A27BC">
        <w:rPr>
          <w:rFonts w:ascii="Arial" w:eastAsiaTheme="majorEastAsia" w:hAnsi="Arial" w:cs="Arial"/>
          <w:noProof/>
          <w:sz w:val="24"/>
          <w:szCs w:val="24"/>
          <w:lang w:eastAsia="ru-RU"/>
        </w:rPr>
        <w:t>Мероприятия по развитию сети объектов социальной инфраструктуры.</w:t>
      </w:r>
      <w:r w:rsidRPr="002A27BC">
        <w:rPr>
          <w:rFonts w:ascii="Arial" w:eastAsia="Times New Roman" w:hAnsi="Arial" w:cs="Arial"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noProof/>
          <w:sz w:val="24"/>
          <w:szCs w:val="24"/>
          <w:lang w:eastAsia="ru-RU"/>
        </w:rPr>
        <w:t>2.3.5. Мероприятия по обеспечению территории городского поселения местами массового отдыха жителей, благоустройства и озеленения.</w:t>
      </w:r>
      <w:r w:rsidRPr="002A27BC">
        <w:rPr>
          <w:rFonts w:ascii="Arial" w:eastAsia="Times New Roman" w:hAnsi="Arial" w:cs="Arial"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noProof/>
          <w:sz w:val="24"/>
          <w:szCs w:val="24"/>
          <w:lang w:eastAsia="ru-RU"/>
        </w:rPr>
        <w:t>2.3.6. Предложения для разработки мероприятий по инженерной подготовке</w:t>
      </w:r>
      <w:r w:rsidRPr="002A27BC">
        <w:rPr>
          <w:rFonts w:ascii="Arial" w:eastAsia="Times New Roman" w:hAnsi="Arial" w:cs="Arial"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noProof/>
          <w:sz w:val="24"/>
          <w:szCs w:val="24"/>
          <w:lang w:eastAsia="ru-RU"/>
        </w:rPr>
        <w:t>2.3.7. Мероприятия по обеспечению территории городского поселения объектами специального назначения.</w:t>
      </w:r>
      <w:r w:rsidRPr="002A27BC">
        <w:rPr>
          <w:rFonts w:ascii="Arial" w:eastAsia="Times New Roman" w:hAnsi="Arial" w:cs="Arial"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noProof/>
          <w:sz w:val="24"/>
          <w:szCs w:val="24"/>
          <w:lang w:eastAsia="ru-RU"/>
        </w:rPr>
        <w:t>2.3.8. Мероприятия по охране окружающей среды.</w:t>
      </w:r>
      <w:r w:rsidRPr="002A27BC">
        <w:rPr>
          <w:rFonts w:ascii="Arial" w:eastAsia="Times New Roman" w:hAnsi="Arial" w:cs="Arial"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napToGri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bCs/>
          <w:noProof/>
          <w:sz w:val="24"/>
          <w:szCs w:val="24"/>
          <w:lang w:eastAsia="ru-RU"/>
        </w:rPr>
        <w:t>3. Заключение.</w:t>
      </w:r>
      <w:r w:rsidRPr="002A27BC">
        <w:rPr>
          <w:rFonts w:ascii="Arial" w:eastAsia="Times New Roman" w:hAnsi="Arial" w:cs="Arial"/>
          <w:bCs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tabs>
          <w:tab w:val="right" w:leader="dot" w:pos="9627"/>
        </w:tabs>
        <w:snapToGri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2A27BC">
        <w:rPr>
          <w:rFonts w:ascii="Arial" w:eastAsiaTheme="majorEastAsia" w:hAnsi="Arial" w:cs="Arial"/>
          <w:bCs/>
          <w:noProof/>
          <w:kern w:val="28"/>
          <w:sz w:val="24"/>
          <w:szCs w:val="24"/>
          <w:lang w:eastAsia="ru-RU"/>
        </w:rPr>
        <w:t>4. Основные технико-экономические показатели.</w:t>
      </w:r>
      <w:r w:rsidRPr="002A27BC">
        <w:rPr>
          <w:rFonts w:ascii="Arial" w:eastAsia="Times New Roman" w:hAnsi="Arial" w:cs="Arial"/>
          <w:bCs/>
          <w:noProof/>
          <w:webHidden/>
          <w:sz w:val="24"/>
          <w:szCs w:val="24"/>
          <w:lang w:eastAsia="ru-RU"/>
        </w:rPr>
        <w:t xml:space="preserve"> 4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</w:p>
    <w:p w:rsidR="002A27BC" w:rsidRPr="002A27BC" w:rsidRDefault="002A27BC" w:rsidP="002A27BC">
      <w:pPr>
        <w:numPr>
          <w:ilvl w:val="0"/>
          <w:numId w:val="2"/>
        </w:numPr>
        <w:spacing w:after="0" w:line="240" w:lineRule="auto"/>
        <w:jc w:val="center"/>
        <w:outlineLvl w:val="0"/>
        <w:rPr>
          <w:rFonts w:ascii="Arial" w:eastAsiaTheme="majorEastAsia" w:hAnsi="Arial" w:cs="Arial"/>
          <w:kern w:val="2"/>
          <w:sz w:val="24"/>
          <w:szCs w:val="24"/>
          <w:lang w:eastAsia="ar-SA"/>
        </w:rPr>
      </w:pPr>
      <w:r w:rsidRPr="002A27BC">
        <w:rPr>
          <w:rFonts w:asciiTheme="majorHAnsi" w:eastAsiaTheme="majorEastAsia" w:hAnsiTheme="majorHAnsi" w:cs="Arial"/>
          <w:bCs/>
          <w:color w:val="2E74B5" w:themeColor="accent1" w:themeShade="BF"/>
          <w:kern w:val="32"/>
          <w:sz w:val="24"/>
          <w:szCs w:val="32"/>
          <w:lang w:val="x-none" w:eastAsia="x-none"/>
        </w:rPr>
        <w:br w:type="page"/>
      </w:r>
      <w:bookmarkStart w:id="1" w:name="_Toc284248885"/>
      <w:bookmarkStart w:id="2" w:name="_Toc259786923"/>
      <w:bookmarkStart w:id="3" w:name="_Toc236295726"/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>1. Цели и задачи территориального планирования</w:t>
      </w:r>
      <w:bookmarkEnd w:id="1"/>
      <w:bookmarkEnd w:id="2"/>
      <w:bookmarkEnd w:id="3"/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jc w:val="center"/>
        <w:outlineLvl w:val="1"/>
        <w:rPr>
          <w:rFonts w:asciiTheme="majorHAnsi" w:eastAsiaTheme="majorEastAsia" w:hAnsiTheme="majorHAnsi" w:cs="Arial"/>
          <w:color w:val="2E74B5" w:themeColor="accent1" w:themeShade="BF"/>
          <w:sz w:val="24"/>
          <w:szCs w:val="24"/>
          <w:lang w:eastAsia="x-none"/>
        </w:rPr>
      </w:pPr>
      <w:bookmarkStart w:id="4" w:name="_Toc284248886"/>
      <w:bookmarkStart w:id="5" w:name="_Toc259786924"/>
      <w:bookmarkStart w:id="6" w:name="_Toc236295727"/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>1.1. Общие положения.</w:t>
      </w:r>
      <w:bookmarkEnd w:id="4"/>
      <w:bookmarkEnd w:id="5"/>
      <w:bookmarkEnd w:id="6"/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1. Территориальное планирование городского поселения – город Богучар Богучарского муниципального района Воронежской области осуществляется посредством разработки и утверждения Генерального плана поселения и внесения в него изменений.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 xml:space="preserve">2. Генеральный план городского поселения – город Богучар Богучарского муниципального района выполнен на основании муниципального контракта № 2/19-09 от 29 августа 2009 </w:t>
      </w:r>
      <w:proofErr w:type="gramStart"/>
      <w:r w:rsidRPr="002A27BC">
        <w:rPr>
          <w:rFonts w:ascii="Arial" w:eastAsia="Times New Roman" w:hAnsi="Arial" w:cs="Arial"/>
          <w:sz w:val="24"/>
          <w:szCs w:val="24"/>
          <w:lang w:eastAsia="ru-RU"/>
        </w:rPr>
        <w:t>г..</w:t>
      </w:r>
      <w:proofErr w:type="gramEnd"/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 xml:space="preserve">3. Генеральный план городского поселения – город Богучар разработан в соответствии с Градостроительным кодексом Российской Федерации, Законом о регулировании градостроительной деятельности в Воронежской области № 61-03 от 29 июня </w:t>
      </w:r>
      <w:smartTag w:uri="urn:schemas-microsoft-com:office:smarttags" w:element="metricconverter">
        <w:smartTagPr>
          <w:attr w:name="ProductID" w:val="2006 г"/>
        </w:smartTagPr>
        <w:r w:rsidRPr="002A27BC">
          <w:rPr>
            <w:rFonts w:ascii="Arial" w:eastAsia="Times New Roman" w:hAnsi="Arial" w:cs="Arial"/>
            <w:sz w:val="24"/>
            <w:szCs w:val="24"/>
            <w:lang w:eastAsia="ru-RU"/>
          </w:rPr>
          <w:t>2006 г</w:t>
        </w:r>
      </w:smartTag>
      <w:r w:rsidRPr="002A27BC">
        <w:rPr>
          <w:rFonts w:ascii="Arial" w:eastAsia="Times New Roman" w:hAnsi="Arial" w:cs="Arial"/>
          <w:sz w:val="24"/>
          <w:szCs w:val="24"/>
          <w:lang w:eastAsia="ru-RU"/>
        </w:rPr>
        <w:t>., Законом об общих принципах организации местного самоуправления в РФ №131-ФЗ от 6 октября 2003 г.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4. Генеральный план городского поселения – город Богучар Богучарского муниципального района реализуется в границах, предусмотренных Законом Воронежской области № 63-03 от 15 октября 2004 г.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области».</w:t>
      </w:r>
    </w:p>
    <w:p w:rsidR="002A27BC" w:rsidRPr="002A27BC" w:rsidRDefault="002A27BC" w:rsidP="002A27BC">
      <w:pPr>
        <w:widowControl w:val="0"/>
        <w:tabs>
          <w:tab w:val="left" w:pos="0"/>
        </w:tabs>
        <w:suppressAutoHyphens/>
        <w:autoSpaceDE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2A27BC">
        <w:rPr>
          <w:rFonts w:ascii="Arial" w:eastAsia="Times New Roman" w:hAnsi="Arial" w:cs="Arial"/>
          <w:sz w:val="24"/>
          <w:szCs w:val="24"/>
        </w:rPr>
        <w:t xml:space="preserve">Генеральный план городского поселения – город Богучар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Богучарского муниципального района. 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bCs/>
          <w:sz w:val="24"/>
          <w:szCs w:val="24"/>
          <w:lang w:eastAsia="ru-RU"/>
        </w:rPr>
        <w:t xml:space="preserve">Основной целью </w:t>
      </w:r>
      <w:r w:rsidRPr="002A27BC">
        <w:rPr>
          <w:rFonts w:ascii="Arial" w:hAnsi="Arial" w:cs="Arial"/>
          <w:sz w:val="24"/>
          <w:szCs w:val="24"/>
          <w:lang w:eastAsia="ru-RU"/>
        </w:rPr>
        <w:t xml:space="preserve">Генерального плана городского поселения – город Богучар является разработка комплекса мероприятий для сбалансированного развития городского поселения и его устойчивого развития как единой градостроительной системы. 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Устойчивое развитие территории городского поселения – обеспечение при осуществлении градостроительной деятельности безопасности и благоприятных условий жизнедеятельности человека,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поколений.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Генеральный план городского поселения – г. Богучар содержит: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положение о территориальном планировании;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схемы территориального планирования.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 xml:space="preserve">Положение о территориальном планировании включает в себя: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цели и задачи территориального планирования;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перечень мероприятий по территориальному планированию и указания на последовательность их выполнения.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 xml:space="preserve">Схемы территориального планирования городского поселения включают в себя: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схему современного использования территории и комплексной оценки городского поселения – г. Богучар;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схему Генерального плана городского поселения – г. Богучар;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схему развития транспортной инфраструктуры;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схему развития инженерной инфраструктуры.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Для решения спорных вопросов, возникающих при реализации мероприятий территориального планирования городского поселения, следует руководствоваться материалами по обоснованию проекта Генерального плана, подготовленных в текстовой форме и графической форме, которые включают: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Анализ состояния территории городского поселения – город Богучар, проблемы и направление ее комплексного развития;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Обоснование предложений и перечень мероприятий по территориальному планированию.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Перечень основных факторов риска возникновения чрезвычайных ситуаций природного и техногенного характера и границы территорий, подверженных риску возникновения чрезвычайных ситуаций природного и техногенного характера, и воздействия их последствий отражены в составе специального раздела «Перечень основных факторов риска возникновения чрезвычайных ситуаций природного и техногенного характера».</w:t>
      </w:r>
    </w:p>
    <w:p w:rsidR="002A27BC" w:rsidRPr="002A27BC" w:rsidRDefault="002A27BC" w:rsidP="002A27BC">
      <w:pPr>
        <w:tabs>
          <w:tab w:val="left" w:pos="0"/>
        </w:tabs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Генеральный план разработан на следующие периоды реализации: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Исходный год – 2007-</w:t>
      </w:r>
      <w:smartTag w:uri="urn:schemas-microsoft-com:office:smarttags" w:element="metricconverter">
        <w:smartTagPr>
          <w:attr w:name="ProductID" w:val="2009 г"/>
        </w:smartTagPr>
        <w:r w:rsidRPr="002A27BC">
          <w:rPr>
            <w:rFonts w:ascii="Arial" w:eastAsia="Times New Roman" w:hAnsi="Arial" w:cs="Arial"/>
            <w:sz w:val="24"/>
            <w:szCs w:val="24"/>
            <w:lang w:eastAsia="ru-RU"/>
          </w:rPr>
          <w:t>2009 г</w:t>
        </w:r>
      </w:smartTag>
      <w:r w:rsidRPr="002A27BC">
        <w:rPr>
          <w:rFonts w:ascii="Arial" w:eastAsia="Times New Roman" w:hAnsi="Arial" w:cs="Arial"/>
          <w:sz w:val="24"/>
          <w:szCs w:val="24"/>
          <w:lang w:eastAsia="ru-RU"/>
        </w:rPr>
        <w:t>.г.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I очередь – 2015 год.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Расчетный срок – 2026 год.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Реализация Генерального плана осуществляется на основании плана реализации, который составляется и утверждается администрацией городского поселения – город Богучар.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План реализации Генерального плана городского поселения – город Богучар является основанием для разработки и принятия адресных программ капитальных вложений.</w:t>
      </w:r>
    </w:p>
    <w:p w:rsidR="002A27BC" w:rsidRPr="002A27BC" w:rsidRDefault="002A27BC" w:rsidP="002A27BC">
      <w:pPr>
        <w:numPr>
          <w:ilvl w:val="1"/>
          <w:numId w:val="2"/>
        </w:numPr>
        <w:tabs>
          <w:tab w:val="left" w:pos="0"/>
        </w:tabs>
        <w:spacing w:after="0" w:line="240" w:lineRule="auto"/>
        <w:ind w:firstLine="709"/>
        <w:jc w:val="both"/>
        <w:outlineLvl w:val="1"/>
        <w:rPr>
          <w:rFonts w:asciiTheme="majorHAnsi" w:eastAsiaTheme="majorEastAsia" w:hAnsiTheme="majorHAnsi" w:cs="Arial"/>
          <w:color w:val="2E74B5" w:themeColor="accent1" w:themeShade="BF"/>
          <w:sz w:val="24"/>
          <w:szCs w:val="24"/>
          <w:lang w:eastAsia="ru-RU"/>
        </w:rPr>
      </w:pPr>
      <w:bookmarkStart w:id="7" w:name="_Toc284248887"/>
      <w:bookmarkStart w:id="8" w:name="_Toc259786925"/>
      <w:bookmarkStart w:id="9" w:name="_Toc236295728"/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 xml:space="preserve">1.2. Цели и задачи территориального планирования городского поселения </w:t>
      </w:r>
      <w:proofErr w:type="gramStart"/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>–  город</w:t>
      </w:r>
      <w:proofErr w:type="gramEnd"/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 xml:space="preserve"> Богучар</w:t>
      </w:r>
      <w:bookmarkEnd w:id="7"/>
      <w:bookmarkEnd w:id="8"/>
      <w:bookmarkEnd w:id="9"/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1.2.1. Территориальное планирование городского поселения – город Богучар осуществляется в соответствии с целями развития городского поселения, установленными в документах планирования социально-экономического развития поселения.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Основными целями развития городского поселения являются: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стабильное улучшение качества жизни всех слоев населения городского поселения – город Богучар;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формирование поселения как интегрированного в российскую экономику многофункционального образования, обеспечивающего благоприятное качество среды жизнедеятельности и производства;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обеспечение прогресса в развитии основных секторов экономики.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Территориальное планирование направлено на определение функционального назначения территорий городского поселения, исходя из совокупности социальных, экономических, экологических и иных факторов в целях: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- обеспечения устойчивого развития городского поселения – город Богучар;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- повышения качества среды;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- развития инженерной, транспортной и социальной инфраструктур.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 xml:space="preserve">1.2.2. </w:t>
      </w:r>
      <w:r w:rsidRPr="002A27B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Задачи территориального планирования </w:t>
      </w:r>
      <w:r w:rsidRPr="002A27BC">
        <w:rPr>
          <w:rFonts w:ascii="Arial" w:eastAsia="Times New Roman" w:hAnsi="Arial" w:cs="Arial"/>
          <w:sz w:val="24"/>
          <w:szCs w:val="24"/>
          <w:lang w:eastAsia="ru-RU"/>
        </w:rPr>
        <w:t>городского поселения – город Богучар: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создание условий для устойчивого развития территории городского поселения – город Богучар, сохранения окружающей природной среды и объектов культурного и природного наследия;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определение назначения территорий городского поселения – город Богучар, исходя из совокупности социальных, экономических, экологических и иных факторов;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обеспечение реализации полномочий органов местного самоуправления городского поселения – город Богучар;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реализация программ социально-экономического развития Воронежской области, муниципального района и городского поселения;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создание условий для реализации интересов Российской Федерации и Воронежской области с учетом требований безопасности жизнедеятельности, экологического и санитарного благополучия;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создание условий для повышения инвестиционной привлекательности территории городского поселения – город Богучар;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стимулирование жилищного и коммунального строительства, деловой активности и производства, торговли и отдыха;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обеспечение реализации мероприятий по развитию транспортной инфраструктуры;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обеспечение реализации мероприятий по повышению надежности и развитию всех видов инженерной инфраструктуры;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обеспечение реализации мероприятий по развитию социальной инфраструктуры;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обеспечение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строительства, находящихся на территории городского поселения – город Богучар;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восстановление и обновление агропромышленного комплекса.</w:t>
      </w:r>
    </w:p>
    <w:p w:rsidR="002A27BC" w:rsidRPr="002A27BC" w:rsidRDefault="002A27BC" w:rsidP="002A27BC">
      <w:pPr>
        <w:widowControl w:val="0"/>
        <w:tabs>
          <w:tab w:val="left" w:pos="0"/>
        </w:tabs>
        <w:suppressAutoHyphens/>
        <w:autoSpaceDE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2A27BC">
        <w:rPr>
          <w:rFonts w:ascii="Arial" w:eastAsia="Times New Roman" w:hAnsi="Arial" w:cs="Arial"/>
          <w:sz w:val="24"/>
          <w:szCs w:val="24"/>
        </w:rPr>
        <w:t xml:space="preserve">Цели, задачи и мероприятия территориального планирования Генерального плана разработаны на основе Стратегии социально-экономического развития Воронежской области, областных целевых программ, программы социально-экономического развития Богучарского муниципального района, инвестиционных проектов и ведомственных целевых программ. </w:t>
      </w:r>
    </w:p>
    <w:p w:rsidR="002A27BC" w:rsidRPr="002A27BC" w:rsidRDefault="002A27BC" w:rsidP="002A27BC">
      <w:pPr>
        <w:tabs>
          <w:tab w:val="left" w:pos="0"/>
        </w:tabs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Генеральный план городского поселения – город Богучар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управления,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2A27BC" w:rsidRPr="002A27BC" w:rsidRDefault="002A27BC" w:rsidP="002A27BC">
      <w:pPr>
        <w:widowControl w:val="0"/>
        <w:tabs>
          <w:tab w:val="left" w:pos="0"/>
        </w:tabs>
        <w:suppressAutoHyphens/>
        <w:autoSpaceDE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2A27BC">
        <w:rPr>
          <w:rFonts w:ascii="Arial" w:eastAsia="Times New Roman" w:hAnsi="Arial" w:cs="Arial"/>
          <w:sz w:val="24"/>
          <w:szCs w:val="24"/>
        </w:rPr>
        <w:t xml:space="preserve"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 </w:t>
      </w:r>
    </w:p>
    <w:p w:rsidR="002A27BC" w:rsidRPr="002A27BC" w:rsidRDefault="002A27BC" w:rsidP="002A27BC">
      <w:pPr>
        <w:widowControl w:val="0"/>
        <w:tabs>
          <w:tab w:val="left" w:pos="0"/>
        </w:tabs>
        <w:suppressAutoHyphens/>
        <w:autoSpaceDE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2A27BC">
        <w:rPr>
          <w:rFonts w:ascii="Arial" w:eastAsia="Times New Roman" w:hAnsi="Arial" w:cs="Arial"/>
          <w:sz w:val="24"/>
          <w:szCs w:val="24"/>
        </w:rPr>
        <w:t xml:space="preserve">При подготовке проекта Генерального плана использовались отчётные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 </w:t>
      </w:r>
    </w:p>
    <w:p w:rsidR="002A27BC" w:rsidRPr="002A27BC" w:rsidRDefault="002A27BC" w:rsidP="002A27BC">
      <w:pPr>
        <w:numPr>
          <w:ilvl w:val="1"/>
          <w:numId w:val="2"/>
        </w:numPr>
        <w:tabs>
          <w:tab w:val="left" w:pos="0"/>
        </w:tabs>
        <w:spacing w:after="0" w:line="240" w:lineRule="auto"/>
        <w:ind w:firstLine="709"/>
        <w:jc w:val="both"/>
        <w:outlineLvl w:val="1"/>
        <w:rPr>
          <w:rFonts w:asciiTheme="majorHAnsi" w:eastAsiaTheme="majorEastAsia" w:hAnsiTheme="majorHAnsi" w:cs="Arial"/>
          <w:sz w:val="24"/>
          <w:szCs w:val="24"/>
          <w:lang w:eastAsia="ru-RU"/>
        </w:rPr>
      </w:pPr>
      <w:bookmarkStart w:id="10" w:name="_Toc284248888"/>
      <w:bookmarkStart w:id="11" w:name="_Toc259786926"/>
      <w:bookmarkStart w:id="12" w:name="_Toc236295729"/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ar-SA"/>
        </w:rPr>
        <w:t xml:space="preserve">1.3. </w:t>
      </w:r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>Интересы Российской Федерации, Воронежской области, Богучарского муниципального района при осуществлении территориального планирования городского поселения – город Богучар</w:t>
      </w:r>
      <w:bookmarkEnd w:id="10"/>
      <w:bookmarkEnd w:id="11"/>
      <w:bookmarkEnd w:id="12"/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При осуществлении территориального планирования городского поселения – город Богучар учтено размещение объектов федерального, регионального и районного значения.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Объекты капитального строительства федерального значения и их территории: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kern w:val="2"/>
          <w:sz w:val="24"/>
          <w:szCs w:val="24"/>
          <w:lang w:eastAsia="ar-SA"/>
        </w:rPr>
      </w:pPr>
      <w:r w:rsidRPr="002A27BC">
        <w:rPr>
          <w:rFonts w:ascii="Arial" w:eastAsia="Times New Roman" w:hAnsi="Arial" w:cs="Arial"/>
          <w:kern w:val="2"/>
          <w:sz w:val="24"/>
          <w:szCs w:val="24"/>
          <w:lang w:eastAsia="ar-SA"/>
        </w:rPr>
        <w:t>автодорога федерального значения М-4 «Дон»;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kern w:val="2"/>
          <w:sz w:val="24"/>
          <w:szCs w:val="24"/>
          <w:lang w:eastAsia="ar-SA"/>
        </w:rPr>
      </w:pPr>
      <w:r w:rsidRPr="002A27BC">
        <w:rPr>
          <w:rFonts w:ascii="Arial" w:eastAsia="Times New Roman" w:hAnsi="Arial" w:cs="Arial"/>
          <w:kern w:val="2"/>
          <w:sz w:val="24"/>
          <w:szCs w:val="24"/>
          <w:lang w:eastAsia="ar-SA"/>
        </w:rPr>
        <w:t>военный городок площадью 98,86 га.</w:t>
      </w:r>
    </w:p>
    <w:p w:rsidR="002A27BC" w:rsidRPr="002A27BC" w:rsidRDefault="002A27BC" w:rsidP="002A27BC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kern w:val="2"/>
          <w:sz w:val="24"/>
          <w:szCs w:val="24"/>
          <w:lang w:eastAsia="ar-SA"/>
        </w:rPr>
        <w:t>Также к федеральной собственности относятся земли лесного и водного фондов.</w:t>
      </w:r>
    </w:p>
    <w:p w:rsidR="002A27BC" w:rsidRPr="002A27BC" w:rsidRDefault="002A27BC" w:rsidP="002A27BC">
      <w:pPr>
        <w:suppressAutoHyphens/>
        <w:spacing w:after="0" w:line="240" w:lineRule="auto"/>
        <w:jc w:val="center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  <w:r w:rsidRPr="002A27BC">
        <w:rPr>
          <w:rFonts w:ascii="Arial" w:eastAsia="Calibri" w:hAnsi="Arial" w:cs="Arial"/>
          <w:kern w:val="2"/>
          <w:sz w:val="24"/>
          <w:szCs w:val="24"/>
          <w:lang w:eastAsia="ar-SA"/>
        </w:rPr>
        <w:t>Перечень</w:t>
      </w:r>
    </w:p>
    <w:p w:rsidR="002A27BC" w:rsidRPr="002A27BC" w:rsidRDefault="002A27BC" w:rsidP="002A27BC">
      <w:pPr>
        <w:suppressAutoHyphens/>
        <w:spacing w:after="0" w:line="240" w:lineRule="auto"/>
        <w:jc w:val="center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  <w:r w:rsidRPr="002A27BC">
        <w:rPr>
          <w:rFonts w:ascii="Arial" w:eastAsia="Calibri" w:hAnsi="Arial" w:cs="Arial"/>
          <w:kern w:val="2"/>
          <w:sz w:val="24"/>
          <w:szCs w:val="24"/>
          <w:lang w:eastAsia="ar-SA"/>
        </w:rPr>
        <w:t>земельных участков объектов федерального уровня собственности, расположенных в г. Богучар, приведен в ниже следующей таблице:</w:t>
      </w:r>
    </w:p>
    <w:p w:rsidR="002A27BC" w:rsidRPr="002A27BC" w:rsidRDefault="002A27BC" w:rsidP="002A27BC">
      <w:pPr>
        <w:tabs>
          <w:tab w:val="left" w:pos="0"/>
        </w:tabs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7513"/>
        <w:gridCol w:w="1470"/>
      </w:tblGrid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 xml:space="preserve">№ </w:t>
            </w:r>
          </w:p>
          <w:p w:rsidR="002A27BC" w:rsidRPr="002A27BC" w:rsidRDefault="002A27BC" w:rsidP="002A27BC">
            <w:pPr>
              <w:suppressAutoHyphens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Местоположение (адрес)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Площадь, га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г. Богучар, ул. Кирова, 10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0,12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Ленина, 28-а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0,06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Карла Маркса, 1(адм. здание)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0,03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г. Богучар, коммунальный квартал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8,17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Военный городок мкр. №5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8,07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Военный городок мкр. №6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18,23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пр-т 50-летия Победы, 4-а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2,10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Дзержинского, 192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1,64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Военный городок мкр. №1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18,11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Военный городок мкр. №2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12,87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Военный городок мкр. №3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12,89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Военный городок мкр. №7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17,56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Малаховская, 1-д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0,00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Кирова, 21-а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0,04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Дзержинского, 241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0,20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Дзержинского, 200-А (АБЗ-старый) км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2,49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мкр. Военный городок 58 (база)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3,80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Военный городок мкр. №4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11,14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Малаховского, 10 (пожарная часть №33)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0,19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Кирова, 6-а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0,05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Советская, 34-а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0,15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Советская, 34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0,23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Ленина, 33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0,11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Радченко, 16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0,48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Дзержинского, 198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1,24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1 Мая, 25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0,05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пл. Ленина, 1-а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0,08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25 Октября, 73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0,22</w:t>
            </w:r>
          </w:p>
        </w:tc>
      </w:tr>
      <w:tr w:rsidR="002A27BC" w:rsidRPr="002A27BC" w:rsidTr="002A27B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25 Октября, 72-а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0,61</w:t>
            </w:r>
          </w:p>
        </w:tc>
      </w:tr>
    </w:tbl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Объекты капитального строительства регионального значения и их территории.</w:t>
      </w:r>
    </w:p>
    <w:p w:rsidR="002A27BC" w:rsidRPr="002A27BC" w:rsidRDefault="002A27BC" w:rsidP="002A27BC">
      <w:pPr>
        <w:suppressAutoHyphens/>
        <w:spacing w:after="0" w:line="240" w:lineRule="auto"/>
        <w:jc w:val="center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  <w:r w:rsidRPr="002A27BC">
        <w:rPr>
          <w:rFonts w:ascii="Arial" w:eastAsia="Calibri" w:hAnsi="Arial" w:cs="Arial"/>
          <w:kern w:val="2"/>
          <w:sz w:val="24"/>
          <w:szCs w:val="24"/>
          <w:lang w:eastAsia="ar-SA"/>
        </w:rPr>
        <w:t>Перечень</w:t>
      </w:r>
    </w:p>
    <w:p w:rsidR="002A27BC" w:rsidRPr="002A27BC" w:rsidRDefault="002A27BC" w:rsidP="002A27BC">
      <w:pPr>
        <w:suppressAutoHyphens/>
        <w:spacing w:after="0" w:line="240" w:lineRule="auto"/>
        <w:jc w:val="center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  <w:r w:rsidRPr="002A27BC">
        <w:rPr>
          <w:rFonts w:ascii="Arial" w:eastAsia="Calibri" w:hAnsi="Arial" w:cs="Arial"/>
          <w:kern w:val="2"/>
          <w:sz w:val="24"/>
          <w:szCs w:val="24"/>
          <w:lang w:eastAsia="ar-SA"/>
        </w:rPr>
        <w:t>земельных участков областного уровня собственности, расположенных в границах городского поселения – город Богучар</w:t>
      </w:r>
    </w:p>
    <w:p w:rsidR="002A27BC" w:rsidRPr="002A27BC" w:rsidRDefault="002A27BC" w:rsidP="002A27BC">
      <w:pPr>
        <w:suppressAutoHyphens/>
        <w:spacing w:after="0" w:line="240" w:lineRule="auto"/>
        <w:jc w:val="center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  <w:r w:rsidRPr="002A27BC">
        <w:rPr>
          <w:rFonts w:ascii="Arial" w:eastAsia="Calibri" w:hAnsi="Arial" w:cs="Arial"/>
          <w:kern w:val="2"/>
          <w:sz w:val="24"/>
          <w:szCs w:val="24"/>
          <w:lang w:eastAsia="ar-SA"/>
        </w:rPr>
        <w:t>(по состоянию на 24.05.2010)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130"/>
        <w:gridCol w:w="2694"/>
        <w:gridCol w:w="1328"/>
      </w:tblGrid>
      <w:tr w:rsidR="002A27BC" w:rsidRPr="002A27BC" w:rsidTr="002A27B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Наименование землепользователей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Адрес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Площадь,</w:t>
            </w:r>
          </w:p>
          <w:p w:rsidR="002A27BC" w:rsidRPr="002A27BC" w:rsidRDefault="002A27BC" w:rsidP="002A27BC">
            <w:pPr>
              <w:suppressAutoHyphens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га</w:t>
            </w:r>
          </w:p>
        </w:tc>
      </w:tr>
      <w:tr w:rsidR="002A27BC" w:rsidRPr="002A27BC" w:rsidTr="002A27B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ГООУ «Богучарская школа-интернат для детей-сирот и детей, оставшихся без попечения родителей»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Шолохова, 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1,5119</w:t>
            </w:r>
          </w:p>
        </w:tc>
      </w:tr>
      <w:tr w:rsidR="002A27BC" w:rsidRPr="002A27BC" w:rsidTr="002A27B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ГСУ СОС СЗН «Богучарский психоневрологический интернат»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Красноармейская, 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1,1865</w:t>
            </w:r>
          </w:p>
        </w:tc>
      </w:tr>
      <w:tr w:rsidR="002A27BC" w:rsidRPr="002A27BC" w:rsidTr="002A27B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ГУ Богучарский центр занятости населения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Кирова, 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0,0487</w:t>
            </w:r>
          </w:p>
        </w:tc>
      </w:tr>
      <w:tr w:rsidR="002A27BC" w:rsidRPr="002A27BC" w:rsidTr="002A27B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ГУП Воронежской области «Воронежфармация»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Дзержинского, 32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0,1547</w:t>
            </w:r>
          </w:p>
        </w:tc>
      </w:tr>
      <w:tr w:rsidR="002A27BC" w:rsidRPr="002A27BC" w:rsidTr="002A27B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ГООУ «Богучарская школа-интернат для детей-сирот и детей, оставшихся без попечения родителей»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 xml:space="preserve">ул. Павших стрелков, </w:t>
            </w:r>
          </w:p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11-а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0,5381</w:t>
            </w:r>
          </w:p>
        </w:tc>
      </w:tr>
      <w:tr w:rsidR="002A27BC" w:rsidRPr="002A27BC" w:rsidTr="002A27B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ОГУ «Богучарский комплексный центр социального обслуживания населения»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1 Мая, 2-е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0,0236</w:t>
            </w:r>
          </w:p>
        </w:tc>
      </w:tr>
      <w:tr w:rsidR="002A27BC" w:rsidRPr="002A27BC" w:rsidTr="002A27B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ОГУ «Богучарский комплексный центр социального обслуживания населения»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1 Мая, 2-д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0,0431</w:t>
            </w:r>
          </w:p>
        </w:tc>
      </w:tr>
    </w:tbl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</w:p>
    <w:p w:rsidR="002A27BC" w:rsidRPr="002A27BC" w:rsidRDefault="002A27BC" w:rsidP="002A27BC">
      <w:pPr>
        <w:suppressAutoHyphens/>
        <w:spacing w:after="0" w:line="240" w:lineRule="auto"/>
        <w:jc w:val="center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  <w:r w:rsidRPr="002A27BC">
        <w:rPr>
          <w:rFonts w:ascii="Arial" w:eastAsia="Calibri" w:hAnsi="Arial" w:cs="Arial"/>
          <w:kern w:val="2"/>
          <w:sz w:val="24"/>
          <w:szCs w:val="24"/>
          <w:lang w:eastAsia="ar-SA"/>
        </w:rPr>
        <w:t>Земельные участки,</w:t>
      </w:r>
    </w:p>
    <w:p w:rsidR="002A27BC" w:rsidRPr="002A27BC" w:rsidRDefault="002A27BC" w:rsidP="002A27BC">
      <w:pPr>
        <w:suppressAutoHyphens/>
        <w:spacing w:after="0" w:line="240" w:lineRule="auto"/>
        <w:jc w:val="center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  <w:r w:rsidRPr="002A27BC">
        <w:rPr>
          <w:rFonts w:ascii="Arial" w:eastAsia="Calibri" w:hAnsi="Arial" w:cs="Arial"/>
          <w:kern w:val="2"/>
          <w:sz w:val="24"/>
          <w:szCs w:val="24"/>
          <w:lang w:eastAsia="ar-SA"/>
        </w:rPr>
        <w:t>подлежащие отнесению к собственности Воронежской области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130"/>
        <w:gridCol w:w="2694"/>
        <w:gridCol w:w="1328"/>
      </w:tblGrid>
      <w:tr w:rsidR="002A27BC" w:rsidRPr="002A27BC" w:rsidTr="002A27B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Наименование землепользователей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Адрес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Площадь,</w:t>
            </w:r>
          </w:p>
          <w:p w:rsidR="002A27BC" w:rsidRPr="002A27BC" w:rsidRDefault="002A27BC" w:rsidP="002A27BC">
            <w:pPr>
              <w:suppressAutoHyphens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га</w:t>
            </w:r>
          </w:p>
        </w:tc>
      </w:tr>
      <w:tr w:rsidR="002A27BC" w:rsidRPr="002A27BC" w:rsidTr="002A27B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Богучарская районная станция по борьбе с болезнями животных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Советская, 34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0,2285</w:t>
            </w:r>
          </w:p>
        </w:tc>
      </w:tr>
      <w:tr w:rsidR="002A27BC" w:rsidRPr="002A27BC" w:rsidTr="002A27B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Богучарская районная станция по борьбе с болезнями животных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Советская, 34-а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0,1521</w:t>
            </w:r>
          </w:p>
        </w:tc>
      </w:tr>
      <w:tr w:rsidR="002A27BC" w:rsidRPr="002A27BC" w:rsidTr="002A27B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Богучарский лесхоз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Радченко, 16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0,4800</w:t>
            </w:r>
          </w:p>
        </w:tc>
      </w:tr>
      <w:tr w:rsidR="002A27BC" w:rsidRPr="002A27BC" w:rsidTr="002A27B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 xml:space="preserve">ГОУ НПО «Профессиональное училище № </w:t>
            </w:r>
            <w:smartTag w:uri="urn:schemas-microsoft-com:office:smarttags" w:element="metricconverter">
              <w:smartTagPr>
                <w:attr w:name="ProductID" w:val="18 г"/>
              </w:smartTagPr>
              <w:r w:rsidRPr="002A27BC">
                <w:rPr>
                  <w:rFonts w:ascii="Arial" w:eastAsia="Calibri" w:hAnsi="Arial" w:cs="Arial"/>
                  <w:kern w:val="2"/>
                  <w:sz w:val="24"/>
                  <w:szCs w:val="24"/>
                  <w:lang w:eastAsia="ar-SA"/>
                </w:rPr>
                <w:t>18 г</w:t>
              </w:r>
            </w:smartTag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.Богучара»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Дзержинского, 40-а (гараж)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0,0100</w:t>
            </w:r>
          </w:p>
        </w:tc>
      </w:tr>
      <w:tr w:rsidR="002A27BC" w:rsidRPr="002A27BC" w:rsidTr="002A27B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ГУ НПО Павловский учебно-курсовой комбинат автомобильного транспорта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ул. Дзержинского, 196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uppressAutoHyphens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</w:pPr>
            <w:r w:rsidRPr="002A27BC">
              <w:rPr>
                <w:rFonts w:ascii="Arial" w:eastAsia="Calibri" w:hAnsi="Arial" w:cs="Arial"/>
                <w:kern w:val="2"/>
                <w:sz w:val="24"/>
                <w:szCs w:val="24"/>
                <w:lang w:eastAsia="ar-SA"/>
              </w:rPr>
              <w:t>0,1297</w:t>
            </w:r>
          </w:p>
        </w:tc>
      </w:tr>
    </w:tbl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</w:p>
    <w:p w:rsidR="002A27BC" w:rsidRPr="002A27BC" w:rsidRDefault="002A27BC" w:rsidP="002A27BC">
      <w:pPr>
        <w:suppressAutoHyphens/>
        <w:spacing w:after="0" w:line="240" w:lineRule="auto"/>
        <w:ind w:left="709"/>
        <w:jc w:val="both"/>
        <w:outlineLvl w:val="0"/>
        <w:rPr>
          <w:rFonts w:ascii="Arial" w:eastAsia="Times New Roman" w:hAnsi="Arial" w:cs="Arial"/>
          <w:kern w:val="2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kern w:val="2"/>
          <w:sz w:val="24"/>
          <w:szCs w:val="24"/>
          <w:lang w:eastAsia="ru-RU"/>
        </w:rPr>
        <w:t>Объекты капитального строительства районного значения.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  <w:r w:rsidRPr="002A27BC">
        <w:rPr>
          <w:rFonts w:ascii="Arial" w:eastAsia="Calibri" w:hAnsi="Arial" w:cs="Arial"/>
          <w:kern w:val="2"/>
          <w:sz w:val="24"/>
          <w:szCs w:val="24"/>
          <w:lang w:eastAsia="ar-SA"/>
        </w:rPr>
        <w:t>На территории городского поселения – город Богучар размещается ряд объектов районного значения, без которых жизнедеятельность поселения невозможна, в том числе: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Богучарская ЦРБ;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Богучарская Центральная районная библиотека;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Богучарский Краеведческий музей;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Дом-музей Кищенко;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 xml:space="preserve">- Родничок, детский сад; 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"/>
          <w:sz w:val="24"/>
          <w:szCs w:val="24"/>
          <w:lang w:eastAsia="ar-SA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 xml:space="preserve">- Улыбка, детский сад; 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Богучарская средняя школа № 1;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Богучарская средняя школа № 2;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Богучарская школа-лицей;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Богучарская вечерняя школа;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Богучарская средняя школа-интернат для детей-сирот;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Богучарский психоневрологический интернат;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Профессиональное училище № 18;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Пожарная часть №33 по охране Богучарского района.</w:t>
      </w:r>
    </w:p>
    <w:p w:rsidR="002A27BC" w:rsidRPr="002A27BC" w:rsidRDefault="002A27BC" w:rsidP="002A27BC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Arial" w:eastAsia="Lucida Sans Unicode" w:hAnsi="Arial" w:cs="Arial"/>
          <w:sz w:val="24"/>
          <w:szCs w:val="24"/>
        </w:rPr>
      </w:pPr>
      <w:r w:rsidRPr="002A27BC">
        <w:rPr>
          <w:rFonts w:ascii="Arial" w:eastAsia="Lucida Sans Unicode" w:hAnsi="Arial" w:cs="Arial"/>
          <w:sz w:val="24"/>
          <w:szCs w:val="24"/>
        </w:rPr>
        <w:t xml:space="preserve">Учет интересов Российской Федерации, Воронежской области, Богучарского муниципального района, сопредельных муниципальных образований в составе Генерального плана </w:t>
      </w:r>
      <w:r w:rsidRPr="002A27BC">
        <w:rPr>
          <w:rFonts w:ascii="Arial" w:eastAsia="Times New Roman" w:hAnsi="Arial" w:cs="Arial"/>
          <w:sz w:val="24"/>
          <w:szCs w:val="24"/>
        </w:rPr>
        <w:t>городского поселения – город Богучар</w:t>
      </w:r>
      <w:r w:rsidRPr="002A27BC">
        <w:rPr>
          <w:rFonts w:ascii="Arial" w:eastAsia="Lucida Sans Unicode" w:hAnsi="Arial" w:cs="Arial"/>
          <w:sz w:val="24"/>
          <w:szCs w:val="24"/>
        </w:rPr>
        <w:t xml:space="preserve">, осуществляется следующими мероприятиями по территориальному планированию: </w:t>
      </w:r>
    </w:p>
    <w:p w:rsidR="002A27BC" w:rsidRPr="002A27BC" w:rsidRDefault="002A27BC" w:rsidP="002A27BC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Arial" w:eastAsia="Lucida Sans Unicode" w:hAnsi="Arial" w:cs="Arial"/>
          <w:sz w:val="24"/>
          <w:szCs w:val="24"/>
        </w:rPr>
      </w:pPr>
      <w:r w:rsidRPr="002A27BC">
        <w:rPr>
          <w:rFonts w:ascii="Arial" w:eastAsia="Lucida Sans Unicode" w:hAnsi="Arial" w:cs="Arial"/>
          <w:sz w:val="24"/>
          <w:szCs w:val="24"/>
        </w:rPr>
        <w:t>реализацией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муниципального образования;</w:t>
      </w:r>
    </w:p>
    <w:p w:rsidR="002A27BC" w:rsidRPr="002A27BC" w:rsidRDefault="002A27BC" w:rsidP="002A27BC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Arial" w:eastAsia="Lucida Sans Unicode" w:hAnsi="Arial" w:cs="Arial"/>
          <w:sz w:val="24"/>
          <w:szCs w:val="24"/>
        </w:rPr>
      </w:pPr>
      <w:r w:rsidRPr="002A27BC">
        <w:rPr>
          <w:rFonts w:ascii="Arial" w:eastAsia="Lucida Sans Unicode" w:hAnsi="Arial" w:cs="Arial"/>
          <w:sz w:val="24"/>
          <w:szCs w:val="24"/>
        </w:rPr>
        <w:t>реализацией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муниципального образования;</w:t>
      </w:r>
    </w:p>
    <w:p w:rsidR="002A27BC" w:rsidRPr="002A27BC" w:rsidRDefault="002A27BC" w:rsidP="002A27BC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Arial" w:eastAsia="Lucida Sans Unicode" w:hAnsi="Arial" w:cs="Arial"/>
          <w:sz w:val="24"/>
          <w:szCs w:val="24"/>
        </w:rPr>
      </w:pPr>
      <w:r w:rsidRPr="002A27BC">
        <w:rPr>
          <w:rFonts w:ascii="Arial" w:eastAsia="Lucida Sans Unicode" w:hAnsi="Arial" w:cs="Arial"/>
          <w:sz w:val="24"/>
          <w:szCs w:val="24"/>
        </w:rPr>
        <w:t>реализацией программы социально-экономического развития Богучарского муниципального района, целевых программ и иных документов программного характера в области развития территорий в пределах полномочий муниципального образования;</w:t>
      </w:r>
    </w:p>
    <w:p w:rsidR="002A27BC" w:rsidRPr="002A27BC" w:rsidRDefault="002A27BC" w:rsidP="002A27BC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Arial" w:eastAsia="Lucida Sans Unicode" w:hAnsi="Arial" w:cs="Arial"/>
          <w:sz w:val="24"/>
          <w:szCs w:val="24"/>
        </w:rPr>
      </w:pPr>
      <w:r w:rsidRPr="002A27BC">
        <w:rPr>
          <w:rFonts w:ascii="Arial" w:eastAsia="Lucida Sans Unicode" w:hAnsi="Arial" w:cs="Arial"/>
          <w:iCs/>
          <w:sz w:val="24"/>
          <w:szCs w:val="24"/>
        </w:rPr>
        <w:t xml:space="preserve">учётом интересов сопредельных муниципальных образований, отражённых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r w:rsidRPr="002A27BC">
        <w:rPr>
          <w:rFonts w:ascii="Arial" w:eastAsia="Times New Roman" w:hAnsi="Arial" w:cs="Arial"/>
          <w:sz w:val="24"/>
          <w:szCs w:val="24"/>
        </w:rPr>
        <w:t>городского поселения – город Богучар</w:t>
      </w:r>
      <w:r w:rsidRPr="002A27BC">
        <w:rPr>
          <w:rFonts w:ascii="Arial" w:eastAsia="Lucida Sans Unicode" w:hAnsi="Arial" w:cs="Arial"/>
          <w:iCs/>
          <w:sz w:val="24"/>
          <w:szCs w:val="24"/>
        </w:rPr>
        <w:t>.</w:t>
      </w: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ind w:firstLine="709"/>
        <w:jc w:val="both"/>
        <w:outlineLvl w:val="1"/>
        <w:rPr>
          <w:rFonts w:asciiTheme="majorHAnsi" w:eastAsia="Times New Roman" w:hAnsiTheme="majorHAnsi" w:cs="Arial"/>
          <w:sz w:val="24"/>
          <w:szCs w:val="24"/>
          <w:lang w:eastAsia="ru-RU"/>
        </w:rPr>
      </w:pPr>
      <w:bookmarkStart w:id="13" w:name="_Toc284248889"/>
      <w:bookmarkStart w:id="14" w:name="_Toc266698345"/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>1.4. Задачи по сохранению объектов культурного наследия</w:t>
      </w:r>
      <w:bookmarkEnd w:id="13"/>
      <w:bookmarkEnd w:id="14"/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sz w:val="24"/>
          <w:szCs w:val="24"/>
          <w:lang w:eastAsia="ru-RU"/>
        </w:rPr>
        <w:t>Объекты культурного наследия подлежат государственной охране в целях предотвращения их повреждения, разрушения или уничтожения, изменения облика и интерьера, нарушения установленного порядка их использования, перемещения и предотвращения других действий, могущих причинить вред объектам культурного наследия, а также в целях их защиты от неблагоприятного воздействия окружающей среды и от иных негативных воздействий.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Государственная охрана объектов культурного наследия включает в себя: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государственный учет объектов, обладающих признаками объекта культурного наследия;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проведение историко-культурной экспертизы;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установление ответственности за повреждение, разрушение или уничтожение объекта культурного наследия, перемещение объекта культурного наследия, нанесение ущерба объекту культурного наследия, изменение облика и интерьера данного объекта культурного наследия, являющихся предметом охраны данного объекта культурного наследия;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согласование проектов зон охраны объектов культурного наследия, землеустроительной документации, градостроительных регламентов, а также решений федеральных органов исполнительной власти, органов исполнительной власти субъектов Российской Федерации и органов местного самоуправления о предоставлении земель и изменении их правового режима;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 xml:space="preserve">контроль за разработкой градостроительных регламентов, в которых должны предусматриваться меры, обеспечивающие содержание и использование объектов культурного наследия;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разработку проектов зон охраны объектов культурного наследия;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выдачу в случаях, установленных настоящим Федеральным законом, разрешений на проведение работ по сохранению объекта культурного наследия;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установление границы территории объекта культурного наследия как объекта градостроительной деятельности особого регулирования;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контроль за состоянием объектов культурного наследия;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иные мероприятия, проведение которых отнесено Федеральным законом и законами субъектов Российской Федерации к полномочиям соответствующих органов охраны объектов культурного наследия. (ст. 33 № 73- ФЗ).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 xml:space="preserve">Меры по обеспечению сохранности объекта культурного наследия при проектировании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Проектирование осуществляются при отсутствии на данной территории объектов культурного наследия (включенных в реестр и выявленных объектов культурного наследия), либо при обеспечении заказчиком сохранности расположенных на данной территории объектов культурного наследия. В случае наличия данных объектов на территории, подлежащей хозяйственному освоению, землеустроительные, земляные, строительные, мелиоративные, хозяйственные и иные работы, проводятся при наличии в проектах работ по обеспечению сохранности данных объектов культурного наследия. (ст. 36 № 73- ФЗ)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Мероприятия, направленные на сохранение объектов историко-культурного наследия: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сохранение объекта культурного наследия - направленное на обеспечение физической сохранности объекта культурного наследия ремонтно-реставрационные работы, в том числе консервация объекта культурного наследия, ремонт памятника, реставрация памятника или ансамбля, приспособление объекта культурного наследия для современного использования, а также научно-исследовательские, изыскательские, проектные и производственные работы, научно-методическое руководство, технический и авторский надзор;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В исключительных случаях под сохранением объекта археологического наследия понимаются спасательные археологические полевые работы, с полным или частичным изъятием археологических находок из раскопов. (ст. 40 № 73- ФЗ);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консервация объекта культурного наследия - научно-исследовательские, изыскательские, проектные и производственные работы, проводимые в целях предотвращения ухудшения состояния объекта культурного наследия без изменения дошедшего до настоящего времени облика указанного объекта, в том числе противоаварийные работы;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ремонт памятника - научно-исследовательские, изыскательские, проектные и производственные работы, проводимые в целях поддержания в эксплуатационном состоянии памятника без изменения его особенностей, составляющих предмет охраны;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реставрация памятника или ансамбля - научно-исследовательские, изыскательские, проектные и производственные работы, проводимые в целях выявления и сохранности историко-культурной ценности объекта культурного наследия;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приспособление объекта культурного наследия для современного использования - научно-исследовательские, проектные и производственные работы, проводимые в целях создания условий для современного использования объекта культурного наследия без изменения его особенностей, составляющих предмет охраны, в том числе реставрация представляющих собой историко-культурную ценность элементов объекта культурного наследия.</w:t>
      </w:r>
      <w:bookmarkStart w:id="15" w:name="_Toc284248890"/>
      <w:bookmarkStart w:id="16" w:name="_Toc259786927"/>
      <w:bookmarkStart w:id="17" w:name="_Toc236295730"/>
    </w:p>
    <w:p w:rsidR="002A27BC" w:rsidRPr="002A27BC" w:rsidRDefault="002A27BC" w:rsidP="002A27BC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2. Перечень мероприятий по территориальному планированию и указания на последовательность их выполнения</w:t>
      </w:r>
      <w:bookmarkEnd w:id="15"/>
      <w:bookmarkEnd w:id="16"/>
      <w:bookmarkEnd w:id="17"/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 xml:space="preserve">Настоящий раздел содержит материалы решения задач территориального планирования городского поселения – город Богучар перечень мероприятий по территориальному планированию, этапы их реализации.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Предложения по территориальному планированию и мероприятия направлены на создание, развитие территорий и объектов капитального строительства местного значения, для реализации полномочий органа местного самоуправления городского поселения – город Богучар.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Содержание разделов и схем Генерального плана городского поселения в рамках полномочий органов местного самоуправления определяет круг проблем и проектных мероприятий, направленных на их решение.</w:t>
      </w:r>
    </w:p>
    <w:p w:rsidR="002A27BC" w:rsidRPr="002A27BC" w:rsidRDefault="002A27BC" w:rsidP="002A27BC">
      <w:pPr>
        <w:tabs>
          <w:tab w:val="left" w:pos="2044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Согласно ст. 14 и 14.1 ФЗ-131 непосредственно к полномочиям администрации городского поселения – город Богучар относятся следующие предложения по территориальному планированию:</w:t>
      </w:r>
    </w:p>
    <w:p w:rsidR="002A27BC" w:rsidRPr="002A27BC" w:rsidRDefault="002A27BC" w:rsidP="002A27BC">
      <w:pPr>
        <w:tabs>
          <w:tab w:val="left" w:pos="2044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 xml:space="preserve">- предложения по административно-территориальному устройству городского поселения – город Богучар; </w:t>
      </w:r>
    </w:p>
    <w:p w:rsidR="002A27BC" w:rsidRPr="002A27BC" w:rsidRDefault="002A27BC" w:rsidP="002A27BC">
      <w:pPr>
        <w:tabs>
          <w:tab w:val="left" w:pos="2044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 xml:space="preserve">- предложения по размещению на территории городского поселения объектов капитального строительства местного значения, включающие в себя следующие подразделы: </w:t>
      </w:r>
    </w:p>
    <w:p w:rsidR="002A27BC" w:rsidRPr="002A27BC" w:rsidRDefault="002A27BC" w:rsidP="002A27BC">
      <w:pPr>
        <w:tabs>
          <w:tab w:val="left" w:pos="2044"/>
        </w:tabs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предложения по обеспечению территории городского поселения – город Богучар объектами инженерной инфраструктуры: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iCs/>
          <w:sz w:val="24"/>
          <w:szCs w:val="24"/>
        </w:rPr>
        <w:t>организация в границах поселения электро-, тепло-, газо- и водоснабжения населения, водоотведения, снабжения населения топливом;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iCs/>
          <w:sz w:val="24"/>
          <w:szCs w:val="24"/>
        </w:rPr>
        <w:t>организация освещения улиц и установка указателей с названиями улиц и номерами домов;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- предложения по обеспечению территории городского поселения – город Богучар объектами транспортной инфраструктуры: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iCs/>
          <w:sz w:val="24"/>
          <w:szCs w:val="24"/>
        </w:rPr>
        <w:t>содержание и строительство автомобильных дорог общего пользования, мостов и иных транспортных инженерных сооружений в границах населенного пункта поселения, за исключением автомобильных дорог общего пользования, мостов и иных транспортных инженерных сооружений федерального и регионального значения;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iCs/>
          <w:sz w:val="24"/>
          <w:szCs w:val="24"/>
        </w:rPr>
        <w:t>создание условий для предоставления транспортных услуг населению и организация транспортного обслуживания населения в границах города;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- предложения по обеспечению населения городского поселения – город Богучар объектами жилой и социальной инфраструктуры: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2A27BC">
        <w:rPr>
          <w:rFonts w:ascii="Arial" w:eastAsia="Times New Roman" w:hAnsi="Arial" w:cs="Arial"/>
          <w:sz w:val="24"/>
          <w:szCs w:val="24"/>
        </w:rPr>
        <w:t xml:space="preserve">обеспечение малоимущих граждан, проживающих в городском поселении – город Богучар и нуждающихся в улучшении жилищных условий, жилыми помещениями в соответствии с жилищным законодательством;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</w:rPr>
        <w:t>организация строительства и содержания муниципального жилищного фонда, создание условий для жилищного строительства;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- предложения по обеспечению населения поселения услугами связи, общественного питании, торговли и бытового обслуживания: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</w:rPr>
        <w:t>создание условий для обеспечения жителей поселения услугами связи, общественного питания, торговли и бытового обслуживания.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- предложения по обеспечению населения городского поселения – город Богучар объектами библиотечного обслуживания, учреждениями культуры, объектами физкультуры и спорта: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</w:rPr>
        <w:t>организация библиотечного обслуживания населения;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</w:rPr>
        <w:t>создание условий для организации досуга и обеспечения жителей г. Богучар услугами организаций культуры;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</w:rPr>
        <w:t>обеспечение условий для развития на территории городского поселения – город Богучар массовой физической культуры и спорта;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</w:rPr>
        <w:t>сохранение объектов культурного наследия местного (муниципального) значения, расположенных в границах городского поселения – город Богучар;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</w:rPr>
        <w:t>обеспечение обязательного проведения историко-культурной экспертизы в отношении земельных участков, подлежащих хозяйственному освоению, в соответствии со ст.30, 31 Федерального закона от 25.06.2002 №73-ФЗ «Об объектах культурного наследия (памятниках истории и культуры) народов Российской Федерации»;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- предложения по обеспечению населения объектами массового отдыха жителей, благоустройство и озеленение территории городского поселения: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iCs/>
          <w:sz w:val="24"/>
          <w:szCs w:val="24"/>
        </w:rPr>
        <w:t>создание условий для массового отдыха жителей и организация обустройства мест массового отдыха населения;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iCs/>
          <w:sz w:val="24"/>
          <w:szCs w:val="24"/>
        </w:rPr>
        <w:t>организация благоустройства и озеленения территории городского поселения – город Богучар;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- предложения по обеспечению территории городского поселения – город Богучар местами сбора бытовых отходов: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iCs/>
          <w:sz w:val="24"/>
          <w:szCs w:val="24"/>
        </w:rPr>
        <w:t>организация сбора и вывоза бытовых отходов и мусора.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- предложения по обеспечению территории городского поселения – город Богучар местами захоронения: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iCs/>
          <w:sz w:val="24"/>
          <w:szCs w:val="24"/>
        </w:rPr>
        <w:t>организация ритуальных услуг, содержание мест захоронения.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- предложения по обеспечению территории городского поселения – город Богучар мерами пожарной безопасности: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iCs/>
          <w:sz w:val="24"/>
          <w:szCs w:val="24"/>
        </w:rPr>
        <w:t>обеспечение первичных мер пожарной безопасности в границах городского поселения – город Богучар.</w:t>
      </w:r>
    </w:p>
    <w:p w:rsidR="002A27BC" w:rsidRPr="002A27BC" w:rsidRDefault="002A27BC" w:rsidP="002A27BC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2A27BC">
        <w:rPr>
          <w:rFonts w:ascii="Arial" w:eastAsia="Times New Roman" w:hAnsi="Arial" w:cs="Arial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значения, а также мероприятия по их снижению, приводятся в томе III «Перечень основных факторов риска возникновения чрезвычайных ситуаций природного и техногенного характера».</w:t>
      </w: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ind w:firstLine="709"/>
        <w:jc w:val="both"/>
        <w:outlineLvl w:val="1"/>
        <w:rPr>
          <w:rFonts w:asciiTheme="majorHAnsi" w:eastAsiaTheme="majorEastAsia" w:hAnsiTheme="majorHAnsi" w:cs="Arial"/>
          <w:color w:val="2E74B5" w:themeColor="accent1" w:themeShade="BF"/>
          <w:sz w:val="24"/>
          <w:szCs w:val="24"/>
          <w:lang w:eastAsia="x-none"/>
        </w:rPr>
      </w:pPr>
      <w:bookmarkStart w:id="18" w:name="_Toc284248891"/>
      <w:bookmarkStart w:id="19" w:name="_Toc259786928"/>
      <w:bookmarkStart w:id="20" w:name="_Toc259179314"/>
      <w:bookmarkStart w:id="21" w:name="_Toc242600124"/>
      <w:bookmarkStart w:id="22" w:name="_Toc236295731"/>
      <w:bookmarkStart w:id="23" w:name="_Toc257036304"/>
      <w:r w:rsidRPr="002A27BC">
        <w:rPr>
          <w:rFonts w:asciiTheme="majorHAnsi" w:eastAsiaTheme="majorEastAsia" w:hAnsiTheme="majorHAnsi" w:cs="Arial"/>
          <w:b/>
          <w:bCs/>
          <w:iCs/>
          <w:color w:val="2E74B5" w:themeColor="accent1" w:themeShade="BF"/>
          <w:sz w:val="24"/>
          <w:szCs w:val="24"/>
          <w:lang w:eastAsia="ru-RU"/>
        </w:rPr>
        <w:t xml:space="preserve">2.1. Мероприятия по оптимизации административно-территориального устройства </w:t>
      </w:r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>городского поселения – город Богучар</w:t>
      </w:r>
      <w:bookmarkEnd w:id="18"/>
      <w:bookmarkEnd w:id="19"/>
      <w:bookmarkEnd w:id="20"/>
      <w:bookmarkEnd w:id="21"/>
      <w:bookmarkEnd w:id="22"/>
    </w:p>
    <w:p w:rsidR="002A27BC" w:rsidRPr="002A27BC" w:rsidRDefault="002A27BC" w:rsidP="002A27BC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Arial" w:eastAsia="Lucida Sans Unicode" w:hAnsi="Arial" w:cs="Arial"/>
          <w:kern w:val="2"/>
          <w:sz w:val="24"/>
          <w:szCs w:val="24"/>
          <w:lang w:eastAsia="ru-RU"/>
        </w:rPr>
      </w:pPr>
      <w:r w:rsidRPr="002A27BC">
        <w:rPr>
          <w:rFonts w:ascii="Arial" w:eastAsia="Lucida Sans Unicode" w:hAnsi="Arial" w:cs="Arial"/>
          <w:sz w:val="24"/>
          <w:szCs w:val="24"/>
          <w:lang w:eastAsia="ru-RU"/>
        </w:rPr>
        <w:t xml:space="preserve">Границы территории городского поселения – город Богучар установлены законом Воронежской области </w:t>
      </w:r>
      <w:r w:rsidRPr="002A27BC">
        <w:rPr>
          <w:rFonts w:ascii="Arial" w:eastAsia="Lucida Sans Unicode" w:hAnsi="Arial" w:cs="Arial"/>
          <w:kern w:val="2"/>
          <w:sz w:val="24"/>
          <w:szCs w:val="24"/>
          <w:lang w:eastAsia="ru-RU"/>
        </w:rPr>
        <w:t xml:space="preserve">N 90-ОЗ «Об установлении границ, наделении соответствующим статусом, определении административных центров муниципальных образований Воронежской области» от 15 октября 2004 </w:t>
      </w:r>
      <w:proofErr w:type="gramStart"/>
      <w:r w:rsidRPr="002A27BC">
        <w:rPr>
          <w:rFonts w:ascii="Arial" w:eastAsia="Lucida Sans Unicode" w:hAnsi="Arial" w:cs="Arial"/>
          <w:kern w:val="2"/>
          <w:sz w:val="24"/>
          <w:szCs w:val="24"/>
          <w:lang w:eastAsia="ru-RU"/>
        </w:rPr>
        <w:t>г..</w:t>
      </w:r>
      <w:proofErr w:type="gramEnd"/>
      <w:r w:rsidRPr="002A27BC">
        <w:rPr>
          <w:rFonts w:ascii="Arial" w:eastAsia="Lucida Sans Unicode" w:hAnsi="Arial" w:cs="Arial"/>
          <w:kern w:val="2"/>
          <w:sz w:val="24"/>
          <w:szCs w:val="24"/>
          <w:lang w:eastAsia="ru-RU"/>
        </w:rPr>
        <w:t xml:space="preserve"> </w:t>
      </w:r>
    </w:p>
    <w:p w:rsidR="002A27BC" w:rsidRPr="002A27BC" w:rsidRDefault="002A27BC" w:rsidP="002A27BC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Arial" w:eastAsia="Lucida Sans Unicode" w:hAnsi="Arial" w:cs="Arial"/>
          <w:sz w:val="24"/>
          <w:szCs w:val="24"/>
          <w:lang w:eastAsia="ru-RU"/>
        </w:rPr>
      </w:pPr>
      <w:r w:rsidRPr="002A27BC">
        <w:rPr>
          <w:rFonts w:ascii="Arial" w:eastAsia="Lucida Sans Unicode" w:hAnsi="Arial" w:cs="Arial"/>
          <w:sz w:val="24"/>
          <w:szCs w:val="24"/>
          <w:lang w:eastAsia="ru-RU"/>
        </w:rPr>
        <w:t xml:space="preserve">При определении границ городского поселения – город Богучар не были учтены территории для перспективного развития городского поселения, которые предлагались в ранее разработанной градостроительной документации. </w:t>
      </w:r>
    </w:p>
    <w:p w:rsidR="002A27BC" w:rsidRPr="002A27BC" w:rsidRDefault="002A27BC" w:rsidP="002A27BC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Arial" w:eastAsia="Lucida Sans Unicode" w:hAnsi="Arial" w:cs="Arial"/>
          <w:sz w:val="24"/>
          <w:szCs w:val="24"/>
          <w:lang w:eastAsia="ru-RU"/>
        </w:rPr>
      </w:pPr>
      <w:r w:rsidRPr="002A27BC">
        <w:rPr>
          <w:rFonts w:ascii="Arial" w:eastAsia="Lucida Sans Unicode" w:hAnsi="Arial" w:cs="Arial"/>
          <w:sz w:val="24"/>
          <w:szCs w:val="24"/>
          <w:lang w:eastAsia="ru-RU"/>
        </w:rPr>
        <w:t>Территории в границах городского поселения недостаточно для дальнейшего развития города, поэтому администрации городского поселения и администрации района необходимо решить вопрос о совместном использовании территории Залиманского сельского поселения (предлагаемый участок примыкает к северной границе городского поселения) для размещения усадебной застройки, планируемой за расчетный срок.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bCs/>
          <w:sz w:val="24"/>
          <w:szCs w:val="24"/>
          <w:lang w:eastAsia="ru-RU"/>
        </w:rPr>
        <w:t>Изменение границ и территории городского поселения и населенного пункта.</w:t>
      </w:r>
    </w:p>
    <w:p w:rsidR="002A27BC" w:rsidRPr="002A27BC" w:rsidRDefault="002A27BC" w:rsidP="002A27BC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(см. чертеж «Генеральный план городского поселения» - ГП-2)</w:t>
      </w:r>
    </w:p>
    <w:p w:rsidR="002A27BC" w:rsidRPr="002A27BC" w:rsidRDefault="002A27BC" w:rsidP="002A27BC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3532"/>
        <w:gridCol w:w="1758"/>
        <w:gridCol w:w="3664"/>
      </w:tblGrid>
      <w:tr w:rsidR="002A27BC" w:rsidRPr="002A27BC" w:rsidTr="002A27BC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center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№</w:t>
            </w:r>
          </w:p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center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center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Наименование территории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center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Площадь, га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center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Примечание</w:t>
            </w:r>
          </w:p>
        </w:tc>
      </w:tr>
      <w:tr w:rsidR="002A27BC" w:rsidRPr="002A27BC" w:rsidTr="002A27BC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  <w:t>Существующая территория городского поселения, всего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  <w:t>1325</w:t>
            </w:r>
          </w:p>
        </w:tc>
        <w:tc>
          <w:tcPr>
            <w:tcW w:w="3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По данным УФАКОН по Воронежской области</w:t>
            </w:r>
          </w:p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Богучарский филиал</w:t>
            </w:r>
          </w:p>
        </w:tc>
      </w:tr>
      <w:tr w:rsidR="002A27BC" w:rsidRPr="002A27BC" w:rsidTr="002A27BC">
        <w:trPr>
          <w:trHeight w:val="783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в т.ч. г. Богучар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1325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  <w:t>Участки, исключаемые из границы города Богучар, всего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  <w:t>Участок №9*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 xml:space="preserve">Земли лесного фонда </w:t>
            </w:r>
          </w:p>
        </w:tc>
      </w:tr>
      <w:tr w:rsidR="002A27BC" w:rsidRPr="002A27BC" w:rsidTr="002A27BC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  <w:t>Участок №10*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Земли лесного фонда</w:t>
            </w:r>
          </w:p>
        </w:tc>
      </w:tr>
      <w:tr w:rsidR="002A27BC" w:rsidRPr="002A27BC" w:rsidTr="002A27BC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  <w:t>Участок №11*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Земли лесного фонда</w:t>
            </w:r>
          </w:p>
        </w:tc>
      </w:tr>
      <w:tr w:rsidR="002A27BC" w:rsidRPr="002A27BC" w:rsidTr="002A27BC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bCs/>
                <w:sz w:val="24"/>
                <w:szCs w:val="24"/>
                <w:lang w:eastAsia="ru-RU"/>
              </w:rPr>
              <w:t>Проектируемая территория городского поселения, всего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1315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Территория изменяется за счет исключения участков лесного фонда</w:t>
            </w:r>
          </w:p>
        </w:tc>
      </w:tr>
    </w:tbl>
    <w:p w:rsidR="002A27BC" w:rsidRPr="002A27BC" w:rsidRDefault="002A27BC" w:rsidP="002A27BC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Arial" w:eastAsia="Lucida Sans Unicode" w:hAnsi="Arial" w:cs="Arial"/>
          <w:kern w:val="2"/>
          <w:sz w:val="24"/>
          <w:szCs w:val="24"/>
          <w:lang w:eastAsia="ru-RU"/>
        </w:rPr>
      </w:pPr>
      <w:r w:rsidRPr="002A27BC">
        <w:rPr>
          <w:rFonts w:ascii="Arial" w:eastAsia="Lucida Sans Unicode" w:hAnsi="Arial" w:cs="Arial"/>
          <w:kern w:val="2"/>
          <w:sz w:val="24"/>
          <w:szCs w:val="24"/>
          <w:lang w:eastAsia="ru-RU"/>
        </w:rPr>
        <w:t>Площади участков приведены ориентировочно, требуется их уточнение в процессе межевания.</w:t>
      </w:r>
    </w:p>
    <w:p w:rsidR="002A27BC" w:rsidRPr="002A27BC" w:rsidRDefault="002A27BC" w:rsidP="002A27BC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Arial" w:eastAsia="Lucida Sans Unicode" w:hAnsi="Arial" w:cs="Arial"/>
          <w:kern w:val="2"/>
          <w:sz w:val="24"/>
          <w:szCs w:val="24"/>
          <w:lang w:eastAsia="ru-RU"/>
        </w:rPr>
      </w:pPr>
      <w:r w:rsidRPr="002A27BC">
        <w:rPr>
          <w:rFonts w:ascii="Arial" w:eastAsia="Lucida Sans Unicode" w:hAnsi="Arial" w:cs="Arial"/>
          <w:kern w:val="2"/>
          <w:sz w:val="24"/>
          <w:szCs w:val="24"/>
          <w:lang w:eastAsia="ru-RU"/>
        </w:rPr>
        <w:t xml:space="preserve">Участок № 8, находящийся на землях сельскохозяйственного назначения Залиманского сельского поселения, предлагается за расчетный срок включить в границу г. Богучар для размещения усадебной застройки. </w:t>
      </w:r>
    </w:p>
    <w:p w:rsidR="002A27BC" w:rsidRPr="002A27BC" w:rsidRDefault="002A27BC" w:rsidP="002A27BC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Arial" w:eastAsia="Lucida Sans Unicode" w:hAnsi="Arial" w:cs="Arial"/>
          <w:kern w:val="2"/>
          <w:sz w:val="24"/>
          <w:szCs w:val="24"/>
          <w:lang w:eastAsia="ru-RU"/>
        </w:rPr>
      </w:pPr>
      <w:r w:rsidRPr="002A27BC">
        <w:rPr>
          <w:rFonts w:ascii="Arial" w:eastAsia="Lucida Sans Unicode" w:hAnsi="Arial" w:cs="Arial"/>
          <w:kern w:val="2"/>
          <w:sz w:val="24"/>
          <w:szCs w:val="24"/>
          <w:lang w:eastAsia="ru-RU"/>
        </w:rPr>
        <w:t xml:space="preserve">Участок № 9, 10, 11. На основании постановления Российской Федерации об осуществлении государственного лесного контроля и </w:t>
      </w:r>
      <w:proofErr w:type="gramStart"/>
      <w:r w:rsidRPr="002A27BC">
        <w:rPr>
          <w:rFonts w:ascii="Arial" w:eastAsia="Lucida Sans Unicode" w:hAnsi="Arial" w:cs="Arial"/>
          <w:kern w:val="2"/>
          <w:sz w:val="24"/>
          <w:szCs w:val="24"/>
          <w:lang w:eastAsia="ru-RU"/>
        </w:rPr>
        <w:t>надзора</w:t>
      </w:r>
      <w:proofErr w:type="gramEnd"/>
      <w:r w:rsidRPr="002A27BC">
        <w:rPr>
          <w:rFonts w:ascii="Arial" w:eastAsia="Lucida Sans Unicode" w:hAnsi="Arial" w:cs="Arial"/>
          <w:kern w:val="2"/>
          <w:sz w:val="24"/>
          <w:szCs w:val="24"/>
          <w:lang w:eastAsia="ru-RU"/>
        </w:rPr>
        <w:t xml:space="preserve"> и п</w:t>
      </w:r>
      <w:r w:rsidRPr="002A27BC">
        <w:rPr>
          <w:rFonts w:ascii="Arial" w:eastAsia="Times New Roman" w:hAnsi="Arial" w:cs="Arial"/>
          <w:sz w:val="24"/>
          <w:szCs w:val="24"/>
          <w:lang w:eastAsia="ru-RU"/>
        </w:rPr>
        <w:t>исьма главы городского поселения – город Богучар от 13 апреля 2010 г. № 161: «О не включении земель лесного фонда» исключаем эти участки из границы населенного пункта.</w:t>
      </w: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ind w:firstLine="709"/>
        <w:jc w:val="both"/>
        <w:outlineLvl w:val="1"/>
        <w:rPr>
          <w:rFonts w:asciiTheme="majorHAnsi" w:eastAsia="Times New Roman" w:hAnsiTheme="majorHAnsi" w:cs="Arial"/>
          <w:color w:val="2E74B5" w:themeColor="accent1" w:themeShade="BF"/>
          <w:sz w:val="24"/>
          <w:szCs w:val="24"/>
          <w:lang w:eastAsia="ru-RU"/>
        </w:rPr>
      </w:pPr>
      <w:bookmarkStart w:id="24" w:name="_Toc284248892"/>
      <w:bookmarkStart w:id="25" w:name="_Toc259786929"/>
      <w:r w:rsidRPr="002A27BC">
        <w:rPr>
          <w:rFonts w:asciiTheme="majorHAnsi" w:eastAsiaTheme="majorEastAsia" w:hAnsiTheme="majorHAnsi" w:cs="Arial"/>
          <w:b/>
          <w:iCs/>
          <w:color w:val="2E74B5" w:themeColor="accent1" w:themeShade="BF"/>
          <w:sz w:val="24"/>
          <w:szCs w:val="24"/>
          <w:lang w:eastAsia="ru-RU"/>
        </w:rPr>
        <w:t>2.2. Мероприятия по планировочной организации и функциональному зонированию территории городского поселения.</w:t>
      </w:r>
      <w:bookmarkEnd w:id="23"/>
      <w:bookmarkEnd w:id="24"/>
      <w:bookmarkEnd w:id="25"/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7485"/>
        <w:gridCol w:w="1848"/>
      </w:tblGrid>
      <w:tr w:rsidR="002A27BC" w:rsidRPr="002A27BC" w:rsidTr="002A27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Сроки реализации</w:t>
            </w:r>
          </w:p>
        </w:tc>
      </w:tr>
      <w:tr w:rsidR="002A27BC" w:rsidRPr="002A27BC" w:rsidTr="002A27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 xml:space="preserve">Подготовка инженерной и транспортной инфраструктуры для последующего размещения агропромышленных и промышленных производств.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Первая очередь</w:t>
            </w:r>
          </w:p>
        </w:tc>
      </w:tr>
      <w:tr w:rsidR="002A27BC" w:rsidRPr="002A27BC" w:rsidTr="002A27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>Подготовка документации по планировке территорий участков под жилищное строительство.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Первая очередь</w:t>
            </w:r>
          </w:p>
        </w:tc>
      </w:tr>
      <w:tr w:rsidR="002A27BC" w:rsidRPr="002A27BC" w:rsidTr="002A27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 xml:space="preserve">Подготовка документов градостроительного зонирования - правил землепользования и застройки </w:t>
            </w: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Нижнекисляйского городского поселения</w:t>
            </w:r>
            <w:r w:rsidRPr="002A27BC">
              <w:rPr>
                <w:rFonts w:ascii="Arial" w:eastAsia="Lucida Sans Unicode" w:hAnsi="Arial" w:cs="Arial"/>
                <w:sz w:val="24"/>
                <w:szCs w:val="24"/>
                <w:lang w:eastAsia="ru-RU"/>
              </w:rPr>
              <w:t xml:space="preserve"> в соответствии со ст. 30-32 Градостроительного кодекса РФ.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Первая очередь</w:t>
            </w:r>
          </w:p>
        </w:tc>
      </w:tr>
    </w:tbl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ind w:firstLine="709"/>
        <w:jc w:val="both"/>
        <w:outlineLvl w:val="1"/>
        <w:rPr>
          <w:rFonts w:asciiTheme="majorHAnsi" w:eastAsiaTheme="majorEastAsia" w:hAnsiTheme="majorHAnsi" w:cs="Arial"/>
          <w:color w:val="2E74B5" w:themeColor="accent1" w:themeShade="BF"/>
          <w:sz w:val="24"/>
          <w:szCs w:val="24"/>
          <w:lang w:eastAsia="x-none"/>
        </w:rPr>
      </w:pPr>
      <w:bookmarkStart w:id="26" w:name="_Toc284248893"/>
      <w:bookmarkStart w:id="27" w:name="_Toc259786930"/>
      <w:bookmarkStart w:id="28" w:name="_Toc257036305"/>
      <w:bookmarkStart w:id="29" w:name="_Toc242600126"/>
      <w:bookmarkStart w:id="30" w:name="_Toc236295733"/>
      <w:r w:rsidRPr="002A27BC">
        <w:rPr>
          <w:rFonts w:asciiTheme="majorHAnsi" w:eastAsiaTheme="majorEastAsia" w:hAnsiTheme="majorHAnsi" w:cs="Arial"/>
          <w:b/>
          <w:bCs/>
          <w:iCs/>
          <w:color w:val="2E74B5" w:themeColor="accent1" w:themeShade="BF"/>
          <w:sz w:val="24"/>
          <w:szCs w:val="24"/>
          <w:lang w:eastAsia="ru-RU"/>
        </w:rPr>
        <w:t>2.3. Мероприятия по решению вопросов местного значения поселения методами территориального планирования и размещение на территории поселения объектов капитального строительства</w:t>
      </w:r>
      <w:bookmarkEnd w:id="26"/>
      <w:bookmarkEnd w:id="27"/>
      <w:bookmarkEnd w:id="28"/>
      <w:bookmarkEnd w:id="29"/>
      <w:bookmarkEnd w:id="30"/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numPr>
          <w:ilvl w:val="2"/>
          <w:numId w:val="2"/>
        </w:numPr>
        <w:spacing w:after="0" w:line="240" w:lineRule="auto"/>
        <w:ind w:firstLine="709"/>
        <w:jc w:val="both"/>
        <w:outlineLvl w:val="2"/>
        <w:rPr>
          <w:rFonts w:asciiTheme="majorHAnsi" w:eastAsiaTheme="majorEastAsia" w:hAnsiTheme="majorHAnsi" w:cs="Arial"/>
          <w:iCs/>
          <w:color w:val="1F4D78" w:themeColor="accent1" w:themeShade="7F"/>
          <w:sz w:val="24"/>
          <w:szCs w:val="24"/>
          <w:lang w:eastAsia="ar-SA"/>
        </w:rPr>
      </w:pPr>
      <w:bookmarkStart w:id="31" w:name="_Toc284248894"/>
      <w:bookmarkStart w:id="32" w:name="_Toc259786931"/>
      <w:bookmarkStart w:id="33" w:name="_Toc257036306"/>
      <w:bookmarkStart w:id="34" w:name="_Toc242600131"/>
      <w:r w:rsidRPr="002A27BC">
        <w:rPr>
          <w:rFonts w:asciiTheme="majorHAnsi" w:eastAsiaTheme="majorEastAsia" w:hAnsiTheme="majorHAnsi" w:cs="Arial"/>
          <w:b/>
          <w:color w:val="1F4D78" w:themeColor="accent1" w:themeShade="7F"/>
          <w:sz w:val="24"/>
          <w:szCs w:val="24"/>
          <w:lang w:eastAsia="ru-RU"/>
        </w:rPr>
        <w:t>2.3.1. Мероприятия по модернизации и развитию инженерной инфраструктуры городского поселения</w:t>
      </w:r>
      <w:bookmarkEnd w:id="31"/>
      <w:bookmarkEnd w:id="32"/>
      <w:bookmarkEnd w:id="33"/>
      <w:bookmarkEnd w:id="34"/>
      <w:r w:rsidRPr="002A27BC">
        <w:rPr>
          <w:rFonts w:asciiTheme="majorHAnsi" w:eastAsiaTheme="majorEastAsia" w:hAnsiTheme="majorHAnsi" w:cs="Arial"/>
          <w:b/>
          <w:bCs/>
          <w:iCs/>
          <w:color w:val="1F4D78" w:themeColor="accent1" w:themeShade="7F"/>
          <w:sz w:val="24"/>
          <w:szCs w:val="24"/>
          <w:lang w:eastAsia="ar-SA"/>
        </w:rPr>
        <w:t xml:space="preserve">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Согласно ст. 14 и 14.1 ФЗ-131 к полномочиям администрации городского поселения относятся: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организация в границах поселения электро-, тепло-, газо- и водоснабжения населения, водоотведения, снабжение населения топливом;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организация освещения улиц.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iCs/>
          <w:sz w:val="24"/>
          <w:szCs w:val="24"/>
          <w:lang w:eastAsia="ar-SA"/>
        </w:rPr>
      </w:pPr>
    </w:p>
    <w:tbl>
      <w:tblPr>
        <w:tblW w:w="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1946"/>
        <w:gridCol w:w="993"/>
        <w:gridCol w:w="850"/>
        <w:gridCol w:w="1985"/>
        <w:gridCol w:w="1984"/>
        <w:gridCol w:w="1559"/>
      </w:tblGrid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Един. измер.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Место расположения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Сроки </w:t>
            </w:r>
            <w:proofErr w:type="gramStart"/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реали-зации</w:t>
            </w:r>
            <w:proofErr w:type="gramEnd"/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Бурение водозаборных скважин глубиной до </w:t>
            </w:r>
            <w:smartTag w:uri="urn:schemas-microsoft-com:office:smarttags" w:element="metricconverter">
              <w:smartTagPr>
                <w:attr w:name="ProductID" w:val="90 м"/>
              </w:smartTagPr>
              <w:r w:rsidRPr="002A27BC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90 м</w:t>
              </w:r>
            </w:smartTag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производительностью 25м3/ч.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комп-лект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Вервековка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очередь строительства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Вервековка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 насосной станции II подъема.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м3/сут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Вервековка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очередь строительства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 насосной станции III подъема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м3/сут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Вервековка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очередь строительства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 и расширение насосной станции III подъема(г.Богучар)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м3/сут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200.0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Г.Богучар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 и расширение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очередь строительства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Водопроводные сети с устройством колодцев, установкой запорной арматуры и пожарных гидрантов d100-300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7.0 (d100мм)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Г.Богучар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очередь строительства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8.0 (d100мм)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10.0 (d200мм)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10.0 (d300мм)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Г.Богучар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25.0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(d100-200мм)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Г.Богучар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очередь строительства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 КНС-26 и КНС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м3/сут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Г.Богучар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очередь строительства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Г.Богучар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 очистных сооружений с механической, полной биологической очисткой и доочисткой.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м3/сут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Г.Богучар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очередь строительства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Г.Богучар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КНС Q=500.0м3/сут Н=30м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м3/сут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Г.Богучар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Самотечные коллекторы канализации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15.0 (d200мм)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2.0 (d350мм)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Г.Богучар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очередь строительства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17.0 (d200мм)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5.0 (d350мм)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Г.Богучар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Комплектная трансформаторная подстанция (КТП)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пр. Победы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очередь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Кирова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Участок №1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 срок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Участок №2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Участок №3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пойме реки Богучарка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Советская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Территория городского леса в р-не ул. Дзержинского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северо-западной части в коммунальной зоне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Трансформаторная подстанция (ТП)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федеральной дороге М4 «Дон»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очередь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Танкистов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Транспортная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25 Октября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пр-т 50-летия Победы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Красноармейская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Ленина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Дзержинского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Малаховского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федеральной дороге М4 «Дон»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расч.срок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Транспортная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пр-т 50-летия Победы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 ул. Октябрьской и ул. Мира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пойме реки Богучарка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Советская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Дзержинского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КНС в р-не пересечения ул. Танкистов и ул. Транспортная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-//-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Котельные (БМК)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г.Богучар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г.Богучар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очередь стр-ва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ШРП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 Богучар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очередь стр-ва</w:t>
            </w: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Газопроводы высокого давления ø 63 мм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Газопроводы среднего давления ø 90 мм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1,55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ШРП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2A27BC" w:rsidRPr="002A27BC" w:rsidTr="002A27BC">
        <w:trPr>
          <w:trHeight w:val="77"/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Газопроводы высокого давления ø </w:t>
            </w:r>
            <w:smartTag w:uri="urn:schemas-microsoft-com:office:smarttags" w:element="metricconverter">
              <w:smartTagPr>
                <w:attr w:name="ProductID" w:val="90 мм"/>
              </w:smartTagPr>
              <w:r w:rsidRPr="002A27BC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90 мм</w:t>
              </w:r>
            </w:smartTag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rHeight w:val="285"/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ø </w:t>
            </w:r>
            <w:smartTag w:uri="urn:schemas-microsoft-com:office:smarttags" w:element="metricconverter">
              <w:smartTagPr>
                <w:attr w:name="ProductID" w:val="63 мм"/>
              </w:smartTagPr>
              <w:r w:rsidRPr="002A27BC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63 мм</w:t>
              </w:r>
            </w:smartTag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blHeader/>
        </w:trPr>
        <w:tc>
          <w:tcPr>
            <w:tcW w:w="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Газопроводы среднего давления ø 90 мм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iCs/>
          <w:sz w:val="24"/>
          <w:szCs w:val="24"/>
          <w:lang w:eastAsia="ar-SA"/>
        </w:rPr>
      </w:pP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Места размещения объектов инженерной инфраструктуры показаны на схемах ГП-4</w:t>
      </w:r>
    </w:p>
    <w:p w:rsidR="002A27BC" w:rsidRPr="002A27BC" w:rsidRDefault="002A27BC" w:rsidP="002A27BC">
      <w:pPr>
        <w:numPr>
          <w:ilvl w:val="2"/>
          <w:numId w:val="2"/>
        </w:numPr>
        <w:spacing w:after="0" w:line="240" w:lineRule="auto"/>
        <w:ind w:firstLine="709"/>
        <w:jc w:val="both"/>
        <w:outlineLvl w:val="2"/>
        <w:rPr>
          <w:rFonts w:ascii="Arial" w:eastAsiaTheme="majorEastAsia" w:hAnsi="Arial" w:cs="Arial"/>
          <w:sz w:val="24"/>
          <w:szCs w:val="24"/>
          <w:lang w:eastAsia="ru-RU"/>
        </w:rPr>
      </w:pPr>
      <w:bookmarkStart w:id="35" w:name="_Toc284248895"/>
      <w:bookmarkStart w:id="36" w:name="_Toc259786932"/>
      <w:bookmarkStart w:id="37" w:name="_Toc257036307"/>
      <w:bookmarkStart w:id="38" w:name="_Toc242600130"/>
      <w:r w:rsidRPr="002A27BC">
        <w:rPr>
          <w:rFonts w:asciiTheme="majorHAnsi" w:eastAsiaTheme="majorEastAsia" w:hAnsiTheme="majorHAnsi" w:cs="Arial"/>
          <w:b/>
          <w:color w:val="1F4D78" w:themeColor="accent1" w:themeShade="7F"/>
          <w:sz w:val="24"/>
          <w:szCs w:val="24"/>
          <w:lang w:eastAsia="ru-RU"/>
        </w:rPr>
        <w:t>2.3.2. Мероприятия по обеспечению территории городского поселения объектами транспортной инфраструктуры.</w:t>
      </w:r>
      <w:bookmarkEnd w:id="35"/>
      <w:bookmarkEnd w:id="36"/>
      <w:bookmarkEnd w:id="37"/>
      <w:bookmarkEnd w:id="38"/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</w:p>
    <w:tbl>
      <w:tblPr>
        <w:tblW w:w="0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1"/>
        <w:gridCol w:w="2186"/>
        <w:gridCol w:w="709"/>
        <w:gridCol w:w="709"/>
        <w:gridCol w:w="2268"/>
        <w:gridCol w:w="1842"/>
        <w:gridCol w:w="1134"/>
      </w:tblGrid>
      <w:tr w:rsidR="002A27BC" w:rsidRPr="002A27BC" w:rsidTr="002A27BC"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по экспл.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Место расположения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Сроки реализ.</w:t>
            </w:r>
          </w:p>
        </w:tc>
      </w:tr>
      <w:tr w:rsidR="002A27BC" w:rsidRPr="002A27BC" w:rsidTr="002A27BC"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</w:tr>
      <w:tr w:rsidR="002A27BC" w:rsidRPr="002A27BC" w:rsidTr="002A27BC">
        <w:tc>
          <w:tcPr>
            <w:tcW w:w="97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Транспортная инфраструктура</w:t>
            </w:r>
          </w:p>
        </w:tc>
      </w:tr>
      <w:tr w:rsidR="002A27BC" w:rsidRPr="002A27BC" w:rsidTr="002A27BC">
        <w:trPr>
          <w:trHeight w:val="1365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Участок дороги с асфальтированным покрытием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Северный микрорайон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участки №1, №2, №3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Создание сетки улиц на новых территориях северного микрорайона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 срок</w:t>
            </w:r>
          </w:p>
        </w:tc>
      </w:tr>
      <w:tr w:rsidR="002A27BC" w:rsidRPr="002A27BC" w:rsidTr="002A27BC">
        <w:trPr>
          <w:trHeight w:val="1365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Благоустройство улично-дорожной сети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ул.Дзержинского, ул.Виноградова, ул.25Октября, ул.Советская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 срок</w:t>
            </w:r>
          </w:p>
        </w:tc>
      </w:tr>
      <w:tr w:rsidR="002A27BC" w:rsidRPr="002A27BC" w:rsidTr="002A27BC">
        <w:trPr>
          <w:trHeight w:val="1365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Площадки городского транспорта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ул.Дзержинского, ул.Шолохова, ул.25Октября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 срок</w:t>
            </w:r>
          </w:p>
        </w:tc>
      </w:tr>
      <w:tr w:rsidR="002A27BC" w:rsidRPr="002A27BC" w:rsidTr="002A27BC">
        <w:trPr>
          <w:trHeight w:val="1365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Автостоянки, парковки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3,56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ул.Дзержинского, ул.Шолохова, ул.25Октября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Северный микрорайон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Размещение у объектов культурно-бытового назначения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 срок</w:t>
            </w:r>
          </w:p>
        </w:tc>
      </w:tr>
      <w:tr w:rsidR="002A27BC" w:rsidRPr="002A27BC" w:rsidTr="002A27BC"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АТП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ул.Дзержинского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Расширение, реконструкция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</w:t>
            </w: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очередь</w:t>
            </w:r>
          </w:p>
        </w:tc>
      </w:tr>
      <w:tr w:rsidR="002A27BC" w:rsidRPr="002A27BC" w:rsidTr="002A27BC"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АЗС, СТО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северо-западной части пересечения ул.Транспортная с М-4; ул.Дзержинского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Мосты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ул.Октябрьская, ул.Мира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val="en-US"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sz w:val="24"/>
          <w:szCs w:val="24"/>
          <w:lang w:eastAsia="ru-RU"/>
        </w:rPr>
        <w:t>Места размещения объектов транспортной инфраструктуры показаны на схеме ГП-3</w:t>
      </w: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ind w:firstLine="709"/>
        <w:jc w:val="both"/>
        <w:outlineLvl w:val="1"/>
        <w:rPr>
          <w:rFonts w:ascii="Arial" w:eastAsiaTheme="majorEastAsia" w:hAnsi="Arial" w:cs="Arial"/>
          <w:color w:val="2E74B5" w:themeColor="accent1" w:themeShade="BF"/>
          <w:sz w:val="24"/>
          <w:szCs w:val="24"/>
          <w:lang w:val="x-none" w:eastAsia="ru-RU"/>
        </w:rPr>
      </w:pPr>
      <w:bookmarkStart w:id="39" w:name="_Toc284248897"/>
      <w:bookmarkStart w:id="40" w:name="_Toc259786934"/>
      <w:bookmarkStart w:id="41" w:name="_Toc257036309"/>
      <w:bookmarkStart w:id="42" w:name="_Toc242600128"/>
      <w:bookmarkStart w:id="43" w:name="_Toc236295735"/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>2.3.3. Мероприятия по обеспечению территории городского поселения объектами жилищного строительства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</w:p>
    <w:tbl>
      <w:tblPr>
        <w:tblW w:w="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28"/>
        <w:gridCol w:w="2373"/>
        <w:gridCol w:w="1094"/>
        <w:gridCol w:w="709"/>
        <w:gridCol w:w="1797"/>
        <w:gridCol w:w="1888"/>
        <w:gridCol w:w="1134"/>
      </w:tblGrid>
      <w:tr w:rsidR="002A27BC" w:rsidRPr="002A27BC" w:rsidTr="002A27BC">
        <w:trPr>
          <w:tblHeader/>
        </w:trPr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по эксп.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Един. измер.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Место </w:t>
            </w:r>
            <w:proofErr w:type="gramStart"/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располо-жения</w:t>
            </w:r>
            <w:proofErr w:type="gramEnd"/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Сроки реалии-зации</w:t>
            </w:r>
          </w:p>
        </w:tc>
      </w:tr>
      <w:tr w:rsidR="002A27BC" w:rsidRPr="002A27BC" w:rsidTr="002A27BC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</w:tr>
      <w:tr w:rsidR="002A27BC" w:rsidRPr="002A27BC" w:rsidTr="002A27BC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Комплексная жилая застройка 2-5 этажная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Участок №1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 срок</w:t>
            </w:r>
          </w:p>
        </w:tc>
      </w:tr>
      <w:tr w:rsidR="002A27BC" w:rsidRPr="002A27BC" w:rsidTr="002A27BC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Комплексная жилая застройка 2-5 этажная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Участок №2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 срок</w:t>
            </w:r>
          </w:p>
        </w:tc>
      </w:tr>
      <w:tr w:rsidR="002A27BC" w:rsidRPr="002A27BC" w:rsidTr="002A27BC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Комплексная жилая застройка 2-5 этажная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Участок №3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 срок</w:t>
            </w:r>
          </w:p>
        </w:tc>
      </w:tr>
      <w:tr w:rsidR="002A27BC" w:rsidRPr="002A27BC" w:rsidTr="002A27BC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4-5 этажная жилая застройка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пр. Победы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Участок №5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оч. стр-ва</w:t>
            </w:r>
          </w:p>
        </w:tc>
      </w:tr>
      <w:tr w:rsidR="002A27BC" w:rsidRPr="002A27BC" w:rsidTr="002A27BC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4-5 этажная жилая застройка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Танкистов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Участок №6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оч. стр-ва</w:t>
            </w:r>
          </w:p>
        </w:tc>
      </w:tr>
      <w:tr w:rsidR="002A27BC" w:rsidRPr="002A27BC" w:rsidTr="002A27BC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26а*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Индивидуальная жилая застройка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ул.Кирова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Участок №6а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оч. стр-ва</w:t>
            </w:r>
          </w:p>
        </w:tc>
      </w:tr>
      <w:tr w:rsidR="002A27BC" w:rsidRPr="002A27BC" w:rsidTr="002A27BC"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Выборочная реконструкция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</w:t>
            </w:r>
            <w:proofErr w:type="gramStart"/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Дзержинско-го</w:t>
            </w:r>
            <w:proofErr w:type="gramEnd"/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25 Октября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 ветхого жилого фонда, размещение объектов культурно-бытового обслуживания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 срок</w:t>
            </w:r>
          </w:p>
        </w:tc>
      </w:tr>
    </w:tbl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*На данную территорию распространяется действие санитарно-защитной зоны от существующего рынка, расположенного севернее от площадки № 6а. Размещение жилой застройки возможно при условии сокращения расчетной санитарно-защитной зоны до достижения снижения всех видов воздействия на среду обитания до предельно допустимой концентрации (ПДК) при химическом и биологическом воздействии и предельно допустимого уровня (ПДУ) при воздействии физических факторов с учетом фона (СанПиН 2.2.1/2.1.1.1200-03 «Санитарно-защитные зоны и санитарная классификация предприятий, сооружений и иных объектов»).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(р. 2.3.3. в ред. решения от 0.02.2016 № 35)</w:t>
      </w:r>
    </w:p>
    <w:p w:rsidR="002A27BC" w:rsidRPr="002A27BC" w:rsidRDefault="002A27BC" w:rsidP="002A27BC">
      <w:pPr>
        <w:numPr>
          <w:ilvl w:val="2"/>
          <w:numId w:val="2"/>
        </w:numPr>
        <w:spacing w:after="0" w:line="240" w:lineRule="auto"/>
        <w:ind w:firstLine="709"/>
        <w:jc w:val="both"/>
        <w:outlineLvl w:val="2"/>
        <w:rPr>
          <w:rFonts w:ascii="Arial" w:eastAsiaTheme="majorEastAsia" w:hAnsi="Arial" w:cs="Arial"/>
          <w:sz w:val="24"/>
          <w:szCs w:val="24"/>
          <w:lang w:eastAsia="ar-SA"/>
        </w:rPr>
      </w:pPr>
      <w:r w:rsidRPr="002A27BC">
        <w:rPr>
          <w:rFonts w:asciiTheme="majorHAnsi" w:eastAsiaTheme="majorEastAsia" w:hAnsiTheme="majorHAnsi" w:cs="Arial"/>
          <w:b/>
          <w:iCs/>
          <w:color w:val="1F4D78" w:themeColor="accent1" w:themeShade="7F"/>
          <w:sz w:val="24"/>
          <w:szCs w:val="24"/>
          <w:lang w:eastAsia="ar-SA"/>
        </w:rPr>
        <w:t>2.3</w:t>
      </w:r>
      <w:r w:rsidRPr="002A27BC">
        <w:rPr>
          <w:rFonts w:asciiTheme="majorHAnsi" w:eastAsiaTheme="majorEastAsia" w:hAnsiTheme="majorHAnsi" w:cs="Arial"/>
          <w:b/>
          <w:color w:val="1F4D78" w:themeColor="accent1" w:themeShade="7F"/>
          <w:sz w:val="24"/>
          <w:szCs w:val="24"/>
          <w:lang w:eastAsia="ar-SA"/>
        </w:rPr>
        <w:t xml:space="preserve">.4. </w:t>
      </w:r>
      <w:r w:rsidRPr="002A27BC">
        <w:rPr>
          <w:rFonts w:asciiTheme="majorHAnsi" w:eastAsiaTheme="majorEastAsia" w:hAnsiTheme="majorHAnsi" w:cs="Arial"/>
          <w:b/>
          <w:color w:val="1F4D78" w:themeColor="accent1" w:themeShade="7F"/>
          <w:sz w:val="24"/>
          <w:szCs w:val="24"/>
          <w:lang w:eastAsia="ru-RU"/>
        </w:rPr>
        <w:t>Мероприятия по развитию сети объектов социальной инфраструктуры</w:t>
      </w:r>
      <w:bookmarkEnd w:id="39"/>
      <w:bookmarkEnd w:id="40"/>
      <w:bookmarkEnd w:id="41"/>
      <w:bookmarkEnd w:id="42"/>
      <w:bookmarkEnd w:id="43"/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2A27BC">
        <w:rPr>
          <w:rFonts w:ascii="Arial" w:eastAsia="Times New Roman" w:hAnsi="Arial" w:cs="Arial"/>
          <w:sz w:val="24"/>
          <w:szCs w:val="24"/>
          <w:lang w:eastAsia="ar-SA"/>
        </w:rPr>
        <w:t xml:space="preserve">Качество и комфортность проживания населения находятся в полной зависимости от системы обслуживания и </w:t>
      </w:r>
      <w:proofErr w:type="gramStart"/>
      <w:r w:rsidRPr="002A27BC">
        <w:rPr>
          <w:rFonts w:ascii="Arial" w:eastAsia="Times New Roman" w:hAnsi="Arial" w:cs="Arial"/>
          <w:sz w:val="24"/>
          <w:szCs w:val="24"/>
          <w:lang w:eastAsia="ar-SA"/>
        </w:rPr>
        <w:t>представляемых услуг</w:t>
      </w:r>
      <w:proofErr w:type="gramEnd"/>
      <w:r w:rsidRPr="002A27BC">
        <w:rPr>
          <w:rFonts w:ascii="Arial" w:eastAsia="Times New Roman" w:hAnsi="Arial" w:cs="Arial"/>
          <w:sz w:val="24"/>
          <w:szCs w:val="24"/>
          <w:lang w:eastAsia="ar-SA"/>
        </w:rPr>
        <w:t xml:space="preserve"> и сервиса.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2A27BC">
        <w:rPr>
          <w:rFonts w:ascii="Arial" w:eastAsia="Times New Roman" w:hAnsi="Arial" w:cs="Arial"/>
          <w:sz w:val="24"/>
          <w:szCs w:val="24"/>
          <w:lang w:eastAsia="ar-SA"/>
        </w:rPr>
        <w:t>При организации сети предприятий обслуживания устанавливаются следующие принципы: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2A27BC">
        <w:rPr>
          <w:rFonts w:ascii="Arial" w:eastAsia="Times New Roman" w:hAnsi="Arial" w:cs="Arial"/>
          <w:sz w:val="24"/>
          <w:szCs w:val="24"/>
          <w:lang w:eastAsia="ar-SA"/>
        </w:rPr>
        <w:t>- организация центров обслуживания в наиболее оживленных местах;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2A27BC">
        <w:rPr>
          <w:rFonts w:ascii="Arial" w:eastAsia="Times New Roman" w:hAnsi="Arial" w:cs="Arial"/>
          <w:sz w:val="24"/>
          <w:szCs w:val="24"/>
          <w:lang w:eastAsia="ar-SA"/>
        </w:rPr>
        <w:t>- организация многопрофильных центров обслуживания;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2A27BC">
        <w:rPr>
          <w:rFonts w:ascii="Arial" w:eastAsia="Times New Roman" w:hAnsi="Arial" w:cs="Arial"/>
          <w:sz w:val="24"/>
          <w:szCs w:val="24"/>
          <w:lang w:eastAsia="ar-SA"/>
        </w:rPr>
        <w:t>- соблюдение радиусов доступности.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2A27BC">
        <w:rPr>
          <w:rFonts w:ascii="Arial" w:eastAsia="Times New Roman" w:hAnsi="Arial" w:cs="Arial"/>
          <w:sz w:val="24"/>
          <w:szCs w:val="24"/>
          <w:lang w:eastAsia="ar-SA"/>
        </w:rPr>
        <w:t>К полномочиям органов местного самоуправления относятся: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2A27BC">
        <w:rPr>
          <w:rFonts w:ascii="Arial" w:eastAsia="Times New Roman" w:hAnsi="Arial" w:cs="Arial"/>
          <w:sz w:val="24"/>
          <w:szCs w:val="24"/>
          <w:lang w:eastAsia="ar-SA"/>
        </w:rPr>
        <w:t>создание условий для организации досуга, обеспечение жителей услугами организаций культуры;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2A27BC">
        <w:rPr>
          <w:rFonts w:ascii="Arial" w:eastAsia="Times New Roman" w:hAnsi="Arial" w:cs="Arial"/>
          <w:sz w:val="24"/>
          <w:szCs w:val="24"/>
          <w:lang w:eastAsia="ar-SA"/>
        </w:rPr>
        <w:t>организация библиотечного обслуживания;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2A27BC">
        <w:rPr>
          <w:rFonts w:ascii="Arial" w:eastAsia="Times New Roman" w:hAnsi="Arial" w:cs="Arial"/>
          <w:sz w:val="24"/>
          <w:szCs w:val="24"/>
          <w:lang w:eastAsia="ar-SA"/>
        </w:rPr>
        <w:t>развитие массовой физической культуры и спорта.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</w:p>
    <w:tbl>
      <w:tblPr>
        <w:tblW w:w="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05"/>
        <w:gridCol w:w="236"/>
        <w:gridCol w:w="975"/>
        <w:gridCol w:w="709"/>
        <w:gridCol w:w="1843"/>
        <w:gridCol w:w="1984"/>
        <w:gridCol w:w="1134"/>
      </w:tblGrid>
      <w:tr w:rsidR="002A27BC" w:rsidRPr="002A27BC" w:rsidTr="002A27BC">
        <w:trPr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по эксп.</w:t>
            </w: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Един. измер.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Место расположения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Сроки </w:t>
            </w:r>
            <w:proofErr w:type="gramStart"/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реали-зации</w:t>
            </w:r>
            <w:proofErr w:type="gramEnd"/>
          </w:p>
        </w:tc>
      </w:tr>
      <w:tr w:rsidR="002A27BC" w:rsidRPr="002A27BC" w:rsidTr="002A27BC">
        <w:trPr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</w:tr>
      <w:tr w:rsidR="002A27BC" w:rsidRPr="002A27BC" w:rsidTr="002A27BC">
        <w:trPr>
          <w:trHeight w:val="471"/>
          <w:tblHeader/>
        </w:trPr>
        <w:tc>
          <w:tcPr>
            <w:tcW w:w="97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Физкультурно-спортивные сооружения</w:t>
            </w:r>
          </w:p>
        </w:tc>
      </w:tr>
      <w:tr w:rsidR="002A27BC" w:rsidRPr="002A27BC" w:rsidTr="002A27BC">
        <w:trPr>
          <w:tblHeader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Плоскостные спортивные сооружения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 общ. площ.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пойме реки Богучарка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Организация и размещение малых архитектурных форм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 срок</w:t>
            </w:r>
          </w:p>
        </w:tc>
      </w:tr>
      <w:tr w:rsidR="002A27BC" w:rsidRPr="002A27BC" w:rsidTr="002A27BC">
        <w:trPr>
          <w:tblHeader/>
        </w:trPr>
        <w:tc>
          <w:tcPr>
            <w:tcW w:w="9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футбольное поле,</w:t>
            </w: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blHeader/>
        </w:trPr>
        <w:tc>
          <w:tcPr>
            <w:tcW w:w="9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баскетбольное поле</w:t>
            </w: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blHeader/>
        </w:trPr>
        <w:tc>
          <w:tcPr>
            <w:tcW w:w="9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волейбольная площадка</w:t>
            </w: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blHeader/>
        </w:trPr>
        <w:tc>
          <w:tcPr>
            <w:tcW w:w="9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теннисный корт</w:t>
            </w: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blHeader/>
        </w:trPr>
        <w:tc>
          <w:tcPr>
            <w:tcW w:w="9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поле для гольфа</w:t>
            </w: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blHeader/>
        </w:trPr>
        <w:tc>
          <w:tcPr>
            <w:tcW w:w="9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многофункциональные спортплощадки</w:t>
            </w: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rHeight w:val="1427"/>
          <w:tblHeader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Спортивно-оздоровительная база</w:t>
            </w:r>
          </w:p>
        </w:tc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Держинского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строительство,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организация спортивно-развлекатель0-ных мероприятий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 срок</w:t>
            </w:r>
          </w:p>
        </w:tc>
      </w:tr>
      <w:tr w:rsidR="002A27BC" w:rsidRPr="002A27BC" w:rsidTr="002A27BC">
        <w:trPr>
          <w:trHeight w:val="775"/>
          <w:tblHeader/>
        </w:trPr>
        <w:tc>
          <w:tcPr>
            <w:tcW w:w="9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6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территория городского леса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Организация вело-роллерных трас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rHeight w:val="355"/>
          <w:tblHeader/>
        </w:trPr>
        <w:tc>
          <w:tcPr>
            <w:tcW w:w="97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Учреждения культуры</w:t>
            </w:r>
          </w:p>
        </w:tc>
      </w:tr>
      <w:tr w:rsidR="002A27BC" w:rsidRPr="002A27BC" w:rsidTr="002A27BC">
        <w:trPr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Богучарская Центральная районная библиотека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К.Маркса ул., д.2,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 с увеличением на 5,4 т. том.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оч. стр-ва</w:t>
            </w:r>
          </w:p>
        </w:tc>
      </w:tr>
      <w:tr w:rsidR="002A27BC" w:rsidRPr="002A27BC" w:rsidTr="002A27BC">
        <w:trPr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Дом культуры Юбилейный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Малаховского пл., д.1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оч. стр-ва</w:t>
            </w:r>
          </w:p>
        </w:tc>
      </w:tr>
      <w:tr w:rsidR="002A27BC" w:rsidRPr="002A27BC" w:rsidTr="002A27BC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2A27BC">
        <w:rPr>
          <w:rFonts w:ascii="Arial" w:hAnsi="Arial" w:cs="Arial"/>
          <w:sz w:val="24"/>
          <w:szCs w:val="24"/>
          <w:lang w:eastAsia="ar-SA"/>
        </w:rPr>
        <w:t>Места размещения объектов социальной инфраструктуры приведены на схеме ГП -2.</w:t>
      </w: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ind w:firstLine="709"/>
        <w:jc w:val="both"/>
        <w:outlineLvl w:val="1"/>
        <w:rPr>
          <w:rFonts w:ascii="Arial" w:eastAsiaTheme="majorEastAsia" w:hAnsi="Arial" w:cs="Arial"/>
          <w:color w:val="2E74B5" w:themeColor="accent1" w:themeShade="BF"/>
          <w:sz w:val="24"/>
          <w:szCs w:val="24"/>
          <w:lang w:val="x-none" w:eastAsia="x-none"/>
        </w:rPr>
      </w:pPr>
      <w:bookmarkStart w:id="44" w:name="_Toc284248899"/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 xml:space="preserve">Раздел </w:t>
      </w:r>
      <w:bookmarkStart w:id="45" w:name="_Toc236295736"/>
      <w:bookmarkStart w:id="46" w:name="_Toc242600129"/>
      <w:bookmarkStart w:id="47" w:name="_Toc257036310"/>
      <w:bookmarkStart w:id="48" w:name="_Toc259786935"/>
      <w:bookmarkStart w:id="49" w:name="_Toc346612679"/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>2.3.5. Мероприятия по обеспечению территории городского поселения местами массового отдыха жителей, благоустройства и озеленения</w:t>
      </w:r>
      <w:bookmarkEnd w:id="45"/>
      <w:bookmarkEnd w:id="46"/>
      <w:bookmarkEnd w:id="47"/>
      <w:bookmarkEnd w:id="48"/>
      <w:bookmarkEnd w:id="49"/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</w:p>
    <w:tbl>
      <w:tblPr>
        <w:tblW w:w="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0"/>
        <w:gridCol w:w="1983"/>
        <w:gridCol w:w="1007"/>
        <w:gridCol w:w="1122"/>
        <w:gridCol w:w="1701"/>
        <w:gridCol w:w="2409"/>
        <w:gridCol w:w="1134"/>
      </w:tblGrid>
      <w:tr w:rsidR="002A27BC" w:rsidRPr="002A27BC" w:rsidTr="002A27BC">
        <w:trPr>
          <w:tblHeader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по эксп.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Един. измер.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Место </w:t>
            </w:r>
            <w:proofErr w:type="gramStart"/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расположе-ния</w:t>
            </w:r>
            <w:proofErr w:type="gram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Сроки реалии-зации</w:t>
            </w:r>
          </w:p>
        </w:tc>
      </w:tr>
      <w:tr w:rsidR="002A27BC" w:rsidRPr="002A27BC" w:rsidTr="002A27BC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</w:tr>
      <w:tr w:rsidR="002A27BC" w:rsidRPr="002A27BC" w:rsidTr="002A27BC">
        <w:trPr>
          <w:trHeight w:val="271"/>
        </w:trPr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Объекты массового отдыха, благоустройства и озеленения.</w:t>
            </w:r>
          </w:p>
        </w:tc>
      </w:tr>
      <w:tr w:rsidR="002A27BC" w:rsidRPr="002A27BC" w:rsidTr="002A27BC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Благоустройство набережной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Между ул. </w:t>
            </w:r>
            <w:proofErr w:type="gramStart"/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Октябрьс-кой</w:t>
            </w:r>
            <w:proofErr w:type="gramEnd"/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 ул. Мира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озеленение, освещение, насыщение малыми архитектурными формами,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мощение тротуарной плиткой, мини-кафе, мини-магазины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оч. стр-ва</w:t>
            </w:r>
          </w:p>
        </w:tc>
      </w:tr>
      <w:tr w:rsidR="002A27BC" w:rsidRPr="002A27BC" w:rsidTr="002A27BC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Пляж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пойме реки Богучарка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I оч. стр-ва</w:t>
            </w:r>
          </w:p>
        </w:tc>
      </w:tr>
      <w:tr w:rsidR="002A27BC" w:rsidRPr="002A27BC" w:rsidTr="002A27BC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Лугопарк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(активный отдых)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пойме реки Богучарка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Ландшафтная организация: подсадка древесно-кустарниковых групп, устройство плоскостных спортивных сооружений,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 срок</w:t>
            </w:r>
          </w:p>
        </w:tc>
      </w:tr>
      <w:tr w:rsidR="002A27BC" w:rsidRPr="002A27BC" w:rsidTr="002A27BC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Лугопарк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(тихий отдых)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Советская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Ландшафтная организация: подсадка древесно-кустарниковых групп, устройство дренажных водоёмов, прогулочных дорожек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 расч. срок</w:t>
            </w:r>
          </w:p>
        </w:tc>
      </w:tr>
      <w:tr w:rsidR="002A27BC" w:rsidRPr="002A27BC" w:rsidTr="002A27BC"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35а</w:t>
            </w: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Парк</w:t>
            </w:r>
          </w:p>
        </w:tc>
        <w:tc>
          <w:tcPr>
            <w:tcW w:w="10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1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Кирова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Посадка древесно-кустарниковых групп, устройство велосипедных и пешеходных дорожек, создание малых архитектурных форм и элементов благоустройства.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 срок</w:t>
            </w:r>
          </w:p>
        </w:tc>
      </w:tr>
    </w:tbl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(р. 2.3.5. в ред. решения от 09.02.2016 № 35)</w:t>
      </w:r>
    </w:p>
    <w:p w:rsidR="002A27BC" w:rsidRPr="002A27BC" w:rsidRDefault="002A27BC" w:rsidP="002A27BC">
      <w:pPr>
        <w:numPr>
          <w:ilvl w:val="2"/>
          <w:numId w:val="2"/>
        </w:numPr>
        <w:spacing w:after="0" w:line="240" w:lineRule="auto"/>
        <w:ind w:firstLine="709"/>
        <w:jc w:val="both"/>
        <w:outlineLvl w:val="2"/>
        <w:rPr>
          <w:rFonts w:ascii="Arial" w:eastAsiaTheme="majorEastAsia" w:hAnsi="Arial" w:cs="Arial"/>
          <w:sz w:val="24"/>
          <w:szCs w:val="24"/>
          <w:lang w:eastAsia="ru-RU"/>
        </w:rPr>
      </w:pPr>
      <w:r w:rsidRPr="002A27BC">
        <w:rPr>
          <w:rFonts w:asciiTheme="majorHAnsi" w:eastAsiaTheme="majorEastAsia" w:hAnsiTheme="majorHAnsi" w:cs="Arial"/>
          <w:b/>
          <w:color w:val="1F4D78" w:themeColor="accent1" w:themeShade="7F"/>
          <w:sz w:val="24"/>
          <w:szCs w:val="24"/>
          <w:lang w:eastAsia="ru-RU"/>
        </w:rPr>
        <w:t>2.3.6. Предложения для разработки мероприятий по инженерной подготовке</w:t>
      </w:r>
      <w:bookmarkEnd w:id="44"/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sz w:val="24"/>
          <w:szCs w:val="24"/>
          <w:lang w:eastAsia="ru-RU"/>
        </w:rPr>
        <w:t>Территория городского поселения в целом благоприятна для градостроительного освоения. Рельеф - волнистая суглинистая равнина с глубоко врезанной (до 25-</w:t>
      </w:r>
      <w:smartTag w:uri="urn:schemas-microsoft-com:office:smarttags" w:element="metricconverter">
        <w:smartTagPr>
          <w:attr w:name="ProductID" w:val="50 м"/>
        </w:smartTagPr>
        <w:r w:rsidRPr="002A27BC">
          <w:rPr>
            <w:rFonts w:ascii="Arial" w:hAnsi="Arial" w:cs="Arial"/>
            <w:sz w:val="24"/>
            <w:szCs w:val="24"/>
            <w:lang w:eastAsia="ru-RU"/>
          </w:rPr>
          <w:t>50 м</w:t>
        </w:r>
      </w:smartTag>
      <w:r w:rsidRPr="002A27BC">
        <w:rPr>
          <w:rFonts w:ascii="Arial" w:hAnsi="Arial" w:cs="Arial"/>
          <w:sz w:val="24"/>
          <w:szCs w:val="24"/>
          <w:lang w:eastAsia="ru-RU"/>
        </w:rPr>
        <w:t xml:space="preserve">.) в меловые породы овражно-балочной сетью, наблюдаются участки на юго-западе поселения с крутизной склонов 20-45%, требующие сложной инженерной подготовки.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sz w:val="24"/>
          <w:szCs w:val="24"/>
          <w:lang w:eastAsia="ru-RU"/>
        </w:rPr>
        <w:t xml:space="preserve">Неблагоприятными факторами природных условий негативно влияюшие на застройку являются: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sz w:val="24"/>
          <w:szCs w:val="24"/>
          <w:lang w:eastAsia="ru-RU"/>
        </w:rPr>
        <w:t>наличие крутого склона с глубокими оврагами и балками, где отмечаются обнажение коренных пород и оползневые явления;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sz w:val="24"/>
          <w:szCs w:val="24"/>
          <w:lang w:eastAsia="ru-RU"/>
        </w:rPr>
        <w:t>процессы заболачивания преимущественно развиты в пойме реки Богучарка и связаны с плоским рельефом с затрудненным стоком поверхностных вод.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sz w:val="24"/>
          <w:szCs w:val="24"/>
          <w:lang w:eastAsia="ru-RU"/>
        </w:rPr>
        <w:t xml:space="preserve">Для укрепления участков с крутизной склонов 20-45% на юго-западе поселения необходима сложная система противооползневых мер: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sz w:val="24"/>
          <w:szCs w:val="24"/>
          <w:lang w:eastAsia="ru-RU"/>
        </w:rPr>
        <w:t>упорядочение поверхностного стока,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sz w:val="24"/>
          <w:szCs w:val="24"/>
          <w:lang w:eastAsia="ru-RU"/>
        </w:rPr>
        <w:t xml:space="preserve">перехват потоков грунтовых вод,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sz w:val="24"/>
          <w:szCs w:val="24"/>
          <w:lang w:eastAsia="ru-RU"/>
        </w:rPr>
        <w:t xml:space="preserve">предохранение естественного контрфорса оползневого массива от разрушения,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sz w:val="24"/>
          <w:szCs w:val="24"/>
          <w:lang w:eastAsia="ru-RU"/>
        </w:rPr>
        <w:t xml:space="preserve">повышение устойчивости откоса механическими и физико-химическими средствами,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sz w:val="24"/>
          <w:szCs w:val="24"/>
          <w:lang w:eastAsia="ru-RU"/>
        </w:rPr>
        <w:t xml:space="preserve">террасирование склонов,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sz w:val="24"/>
          <w:szCs w:val="24"/>
          <w:lang w:eastAsia="ru-RU"/>
        </w:rPr>
        <w:t xml:space="preserve">посадка зеленых насаждений.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sz w:val="24"/>
          <w:szCs w:val="24"/>
          <w:lang w:eastAsia="ru-RU"/>
        </w:rPr>
        <w:t xml:space="preserve">Противооползневые мероприятия следует осуществлять на основе комплексного изучения геологических и гидрогеологических условий специализированными организациями.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sz w:val="24"/>
          <w:szCs w:val="24"/>
          <w:lang w:eastAsia="ru-RU"/>
        </w:rPr>
        <w:t>Для предотвращения заболачивания и подтопления паводковыми водами необходимо провести работы по расчистки русла р. Богучарка, частичной подсыпки территории поймы реки.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</w:p>
    <w:tbl>
      <w:tblPr>
        <w:tblW w:w="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610"/>
        <w:gridCol w:w="236"/>
        <w:gridCol w:w="979"/>
        <w:gridCol w:w="857"/>
        <w:gridCol w:w="1740"/>
        <w:gridCol w:w="2127"/>
        <w:gridCol w:w="1095"/>
      </w:tblGrid>
      <w:tr w:rsidR="002A27BC" w:rsidRPr="002A27BC" w:rsidTr="002A27BC">
        <w:trPr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по эксп.</w:t>
            </w:r>
          </w:p>
        </w:tc>
        <w:tc>
          <w:tcPr>
            <w:tcW w:w="2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Един. измер.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Место расположения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left="-113" w:right="-113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Сроки </w:t>
            </w:r>
            <w:proofErr w:type="gramStart"/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реали-зации</w:t>
            </w:r>
            <w:proofErr w:type="gramEnd"/>
          </w:p>
        </w:tc>
      </w:tr>
      <w:tr w:rsidR="002A27BC" w:rsidRPr="002A27BC" w:rsidTr="002A27BC">
        <w:trPr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</w:tr>
      <w:tr w:rsidR="002A27BC" w:rsidRPr="002A27BC" w:rsidTr="002A27BC">
        <w:trPr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Борьба с оврагообразованием и оползневыми процессами</w:t>
            </w:r>
          </w:p>
        </w:tc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юго-западная часть поселения -крутые склоны 20-45%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упорядочение поверхностного стока,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перехват потоков грунтовых вод, предохранение естественного контрфорса оползневого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массива от разрушения, повышение устойчивости откоса механическими и физико-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химическими средствами, террасирование склонов, посадка зеленых насаждений.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расч.ср.</w:t>
            </w:r>
          </w:p>
        </w:tc>
      </w:tr>
      <w:tr w:rsidR="002A27BC" w:rsidRPr="002A27BC" w:rsidTr="002A27BC">
        <w:trPr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Пойма р. Богучарка,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меры по предотвращению затопления паводковыми водами</w:t>
            </w:r>
          </w:p>
        </w:tc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частичный намыв на территории поймы, расчистка русла реки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 ср</w:t>
            </w:r>
          </w:p>
        </w:tc>
      </w:tr>
      <w:tr w:rsidR="002A27BC" w:rsidRPr="002A27BC" w:rsidTr="002A27BC">
        <w:trPr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Регулирование поверхностного стока</w:t>
            </w:r>
          </w:p>
        </w:tc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вершине юго-западного склона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организация закрытой ливневой канализации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оч.</w:t>
            </w:r>
          </w:p>
        </w:tc>
      </w:tr>
      <w:tr w:rsidR="002A27BC" w:rsidRPr="002A27BC" w:rsidTr="002A27BC">
        <w:trPr>
          <w:tblHeader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Очистные сооружения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ливневой канализации</w:t>
            </w:r>
          </w:p>
        </w:tc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вершине юго-западного склона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 и увеличение мощности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оч.</w:t>
            </w:r>
          </w:p>
        </w:tc>
      </w:tr>
      <w:tr w:rsidR="002A27BC" w:rsidRPr="002A27BC" w:rsidTr="002A27BC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2A27BC" w:rsidRPr="002A27BC" w:rsidRDefault="002A27BC" w:rsidP="002A27BC">
      <w:pPr>
        <w:numPr>
          <w:ilvl w:val="2"/>
          <w:numId w:val="2"/>
        </w:numPr>
        <w:spacing w:after="0" w:line="240" w:lineRule="auto"/>
        <w:ind w:firstLine="709"/>
        <w:jc w:val="both"/>
        <w:outlineLvl w:val="2"/>
        <w:rPr>
          <w:rFonts w:asciiTheme="majorHAnsi" w:eastAsiaTheme="majorEastAsia" w:hAnsiTheme="majorHAnsi" w:cs="Arial"/>
          <w:bCs/>
          <w:color w:val="1F4D78" w:themeColor="accent1" w:themeShade="7F"/>
          <w:sz w:val="24"/>
          <w:szCs w:val="24"/>
          <w:lang w:eastAsia="ru-RU"/>
        </w:rPr>
      </w:pPr>
      <w:bookmarkStart w:id="50" w:name="_Toc284248900"/>
      <w:bookmarkStart w:id="51" w:name="_Toc259786936"/>
      <w:bookmarkStart w:id="52" w:name="_Toc236295739"/>
      <w:r w:rsidRPr="002A27BC">
        <w:rPr>
          <w:rFonts w:asciiTheme="majorHAnsi" w:eastAsiaTheme="majorEastAsia" w:hAnsiTheme="majorHAnsi" w:cs="Arial"/>
          <w:b/>
          <w:color w:val="1F4D78" w:themeColor="accent1" w:themeShade="7F"/>
          <w:sz w:val="24"/>
          <w:szCs w:val="24"/>
          <w:lang w:eastAsia="ru-RU"/>
        </w:rPr>
        <w:t>2.3.7. Мероприятия по обеспечению территории городского поселения объектами специального назначения</w:t>
      </w:r>
      <w:bookmarkEnd w:id="50"/>
      <w:bookmarkEnd w:id="51"/>
      <w:bookmarkEnd w:id="52"/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2A27BC">
        <w:rPr>
          <w:rFonts w:ascii="Arial" w:hAnsi="Arial" w:cs="Arial"/>
          <w:sz w:val="24"/>
          <w:szCs w:val="24"/>
          <w:lang w:eastAsia="ru-RU"/>
        </w:rPr>
        <w:t>Согласно ст. 14 Федерального закона от 06.10.2003 № 131-ФЗ к вопросам местного значения поселения относятся вопросы организации сбора и вывоза бытовых отходов и мусора.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Для стабилизации и дальнейшего решения проблемы ТБО в городском поселении необходима разработка схемы планово-регулярной системы сбора и транспортировки бытовых отходов на территории городского поселения г. Богучар. Разработка схемы обеспечивает организацию рациональной системы сбора, хранения, регулярного вывоза отходов и уборки территорий населенных пунктов Воронежской области с соблюдением требований "Санитарных правил содержания территорий населенных мест" (СанПиН 42-128-4690-88). В составе схемы должны быть предусмотрены следующие первоочередные меры: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выявление несанкционированных свалок и их рекультивация;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 xml:space="preserve">- организация сбора отходов в жилых зонах на специальных площадках с контейнерами большой </w:t>
      </w:r>
      <w:proofErr w:type="gramStart"/>
      <w:r w:rsidRPr="002A27BC">
        <w:rPr>
          <w:rFonts w:ascii="Arial" w:eastAsia="Calibri" w:hAnsi="Arial" w:cs="Arial"/>
          <w:kern w:val="24"/>
          <w:sz w:val="24"/>
          <w:szCs w:val="24"/>
        </w:rPr>
        <w:t>емкости ;</w:t>
      </w:r>
      <w:proofErr w:type="gramEnd"/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обеспечение отдельного сбора и сдачи на переработку или захоронение токсичных отходов (1 и 2 классов опасности);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заключение договора на сдачу вторичного сырья на дальнейшую переработку.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 xml:space="preserve">Планово-регулярная система включает: подготовку отходов к погрузке в собирающий мусоровозный транспорт, организацию временного хранения отходов (и необходимую сортировку), сбор и вывоз отходов с территорий домовладений, зимнюю и летнюю уборку территории, утилизацию и </w:t>
      </w:r>
      <w:proofErr w:type="gramStart"/>
      <w:r w:rsidRPr="002A27BC">
        <w:rPr>
          <w:rFonts w:ascii="Arial" w:eastAsia="Calibri" w:hAnsi="Arial" w:cs="Arial"/>
          <w:kern w:val="24"/>
          <w:sz w:val="24"/>
          <w:szCs w:val="24"/>
        </w:rPr>
        <w:t>обезвреживание специфических отходов</w:t>
      </w:r>
      <w:proofErr w:type="gramEnd"/>
      <w:r w:rsidRPr="002A27BC">
        <w:rPr>
          <w:rFonts w:ascii="Arial" w:eastAsia="Calibri" w:hAnsi="Arial" w:cs="Arial"/>
          <w:kern w:val="24"/>
          <w:sz w:val="24"/>
          <w:szCs w:val="24"/>
        </w:rPr>
        <w:t xml:space="preserve"> и использование вторичных ресурсов.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Городская свалка ТБО в п. Вишневый не соответствует СП 2.1.7. 1038-01 «Гигиенические требования к устройству и содержанию полигонов для твердых бытовых отходов». Необходимо в первую очередь устранить нарушения природоохранного законодательства.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В соответствии с областной целевой программой «Экология и природные ресурсы Воронежской области» предлагается размещение пункта сбора, накопления и первичной сортировки ТБО. На расчетный срок предлагается рекультивация городской свалки ТБО в п. Вишневый, когда пункт по сбору и накоплению ТБО будет готов к использованию.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</w:p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1992"/>
        <w:gridCol w:w="992"/>
        <w:gridCol w:w="851"/>
        <w:gridCol w:w="1842"/>
        <w:gridCol w:w="2410"/>
        <w:gridCol w:w="992"/>
      </w:tblGrid>
      <w:tr w:rsidR="002A27BC" w:rsidRPr="002A27BC" w:rsidTr="002A27BC">
        <w:trPr>
          <w:tblHeader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по эксп.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Един. измер.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Место расположения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Сроки </w:t>
            </w:r>
            <w:proofErr w:type="gramStart"/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реали-зации</w:t>
            </w:r>
            <w:proofErr w:type="gramEnd"/>
          </w:p>
        </w:tc>
      </w:tr>
      <w:tr w:rsidR="002A27BC" w:rsidRPr="002A27BC" w:rsidTr="002A27BC">
        <w:trPr>
          <w:tblHeader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</w:tr>
      <w:tr w:rsidR="002A27BC" w:rsidRPr="002A27BC" w:rsidTr="002A27BC">
        <w:trPr>
          <w:trHeight w:val="353"/>
          <w:tblHeader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Городская свалка ТБО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5,93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Вишневый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Устранение нарушений природоохранного законодательства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оч..</w:t>
            </w:r>
          </w:p>
        </w:tc>
      </w:tr>
      <w:tr w:rsidR="002A27BC" w:rsidRPr="002A27BC" w:rsidTr="002A27BC">
        <w:trPr>
          <w:trHeight w:val="96"/>
          <w:tblHeader/>
        </w:trPr>
        <w:tc>
          <w:tcPr>
            <w:tcW w:w="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Рекультивация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ср.</w:t>
            </w:r>
          </w:p>
        </w:tc>
      </w:tr>
      <w:tr w:rsidR="002A27BC" w:rsidRPr="002A27BC" w:rsidTr="002A27BC">
        <w:trPr>
          <w:tblHeader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Пункт сбора, накопления и первичной сортировки ТБО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северо-западной части, в коммунальной зоне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расч.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ср.</w:t>
            </w:r>
          </w:p>
        </w:tc>
      </w:tr>
      <w:tr w:rsidR="002A27BC" w:rsidRPr="002A27BC" w:rsidTr="002A27BC">
        <w:trPr>
          <w:tblHeader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Очистные сооружения бытовой канализации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северо-западной части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 Богучар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оч..</w:t>
            </w:r>
          </w:p>
        </w:tc>
      </w:tr>
    </w:tbl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 xml:space="preserve">Согласно ст. 14 Федерального закона от 06.10.2003 № 131-ФЗ к вопросам местного значения поселения относится содержание мест захоронения. На территории городского поселения г. Богучар находится 1 закрытое кладбище. Захоронения ведутся на кладбище принадлежащему городскому поселению, но на территории Залиманского сельского поселения. На перспективу необходимо расширение кладбища на 3,5га. 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1964"/>
        <w:gridCol w:w="992"/>
        <w:gridCol w:w="567"/>
        <w:gridCol w:w="1843"/>
        <w:gridCol w:w="2268"/>
        <w:gridCol w:w="1417"/>
      </w:tblGrid>
      <w:tr w:rsidR="002A27BC" w:rsidRPr="002A27BC" w:rsidTr="002A27BC">
        <w:trPr>
          <w:tblHeader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 эксп.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Един. измер.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Место расположения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Сроки </w:t>
            </w:r>
            <w:proofErr w:type="gramStart"/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реали-зации</w:t>
            </w:r>
            <w:proofErr w:type="gramEnd"/>
          </w:p>
        </w:tc>
      </w:tr>
      <w:tr w:rsidR="002A27BC" w:rsidRPr="002A27BC" w:rsidTr="002A27BC">
        <w:trPr>
          <w:tblHeader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</w:tr>
      <w:tr w:rsidR="002A27BC" w:rsidRPr="002A27BC" w:rsidTr="002A27BC">
        <w:trPr>
          <w:trHeight w:val="353"/>
          <w:tblHeader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Действующее кладбище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Залиманское сельское поселение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расширение на</w:t>
            </w:r>
          </w:p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,5 га"/>
              </w:smartTagPr>
              <w:r w:rsidRPr="002A27BC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3,5 га</w:t>
              </w:r>
            </w:smartTag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 расч.ср</w:t>
            </w:r>
          </w:p>
        </w:tc>
      </w:tr>
    </w:tbl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numPr>
          <w:ilvl w:val="2"/>
          <w:numId w:val="2"/>
        </w:numPr>
        <w:spacing w:after="0" w:line="240" w:lineRule="auto"/>
        <w:ind w:firstLine="709"/>
        <w:jc w:val="both"/>
        <w:outlineLvl w:val="2"/>
        <w:rPr>
          <w:rFonts w:asciiTheme="majorHAnsi" w:eastAsiaTheme="majorEastAsia" w:hAnsiTheme="majorHAnsi" w:cs="Arial"/>
          <w:color w:val="1F4D78" w:themeColor="accent1" w:themeShade="7F"/>
          <w:sz w:val="24"/>
          <w:szCs w:val="24"/>
          <w:lang w:eastAsia="ru-RU"/>
        </w:rPr>
      </w:pPr>
      <w:bookmarkStart w:id="53" w:name="_Toc284248901"/>
      <w:r w:rsidRPr="002A27BC">
        <w:rPr>
          <w:rFonts w:asciiTheme="majorHAnsi" w:eastAsiaTheme="majorEastAsia" w:hAnsiTheme="majorHAnsi" w:cs="Arial"/>
          <w:b/>
          <w:color w:val="1F4D78" w:themeColor="accent1" w:themeShade="7F"/>
          <w:sz w:val="24"/>
          <w:szCs w:val="24"/>
          <w:lang w:eastAsia="ru-RU"/>
        </w:rPr>
        <w:t>2.3.8. Мероприятия по охране окружающей среды</w:t>
      </w:r>
      <w:bookmarkEnd w:id="53"/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 xml:space="preserve">Для улучшения экологического состояния необходимо проведение комплекса природоохранных мероприятий, включая: 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Атмосферный воздух: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организация санитарно-защитных зон промышленных предприятий;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перевод автотранспорта на газовое топливо;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озеленение магистральных улиц и санитарно-защитных зон с двухъярусной посадкой зеленых насаждений;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систематическое осуществление мониторинга за состоянием атмосферного воздуха.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Поверхностные воды и водоснабжение: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выполнение плановых работ по реконструкции очистных сооружений искусственной биологической очистки МУП «Богучаркоммунсервис»;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 xml:space="preserve">- замена ветхих водопроводных сетей и увеличение протяженности сетей централизованной канализации и водоснабжения; 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организация сбора, отвода и очистки вод поверхностного стока с территории городского поселения;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обеспечение качества питьевой воды, подаваемой населению, установление фильтров доочистки питьевой воды.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Почвы: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принятие мер по сохранению плодородия почв посредством защиты их от эрозии на основе агрофитомелиоративных приемов и биоинженерных сооружений;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ликвидация нарушений природоохранного законодательства на полигоне ТБО (МУП «Городское ЖКХ»): получение заключения экологической экспертизы, мониторинг за состоянием окружающей среды, разработка программы производственного контроля.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На расчетный срок - строительство пункта сбора, накопления и первичной сортировки ТБО;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организация системы сбора отработанных компактных ламп от населения и хозяйствующих субъектов;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организация рациональной системы сбора, временного хранения, регулярного вывоза отходов.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Растительный и животный мир: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увеличение площади зеленых насаждений общего пользования городского поселения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сохранение и увеличение участков защитных лесонасаждений;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- создание оптимальных условий для поддержания видового разнообразия животного мира.</w:t>
      </w:r>
    </w:p>
    <w:p w:rsidR="002A27BC" w:rsidRPr="002A27BC" w:rsidRDefault="002A27BC" w:rsidP="002A27BC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br w:type="page"/>
      </w:r>
      <w:bookmarkStart w:id="54" w:name="_Toc236295740"/>
      <w:bookmarkStart w:id="55" w:name="_Toc284248902"/>
      <w:bookmarkStart w:id="56" w:name="_Toc259786938"/>
      <w:r w:rsidRPr="002A27BC">
        <w:rPr>
          <w:rFonts w:ascii="Arial" w:eastAsia="Times New Roman" w:hAnsi="Arial" w:cs="Arial"/>
          <w:sz w:val="24"/>
          <w:szCs w:val="24"/>
          <w:lang w:eastAsia="ru-RU"/>
        </w:rPr>
        <w:t>3. Заключение.</w:t>
      </w:r>
      <w:bookmarkEnd w:id="54"/>
      <w:bookmarkEnd w:id="55"/>
      <w:bookmarkEnd w:id="56"/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Разработка Генерального плана городского поселения – город Богучар как основного градостроительного документа муниципального образования предполагает и соответствующие механизмы его реализации.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нормативно-правовое регулирование, прямые и косвенные методы бюджетной поддержки, механизмы организационной, правовой и информационной поддержки. Система механизмов, регламентирующих и обеспечивающих в т.ч. реализацию генерального плана включает механизмы, как регионального, так и муниципального уровней.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Для реализации проектных предложений генерального плана, согласно законодательству, в трехмесячный срок после его утверждения должен быть разработан и утвержден план реализации генерального плана городского поселения – город Богучар. В этом плане должны содержаться: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- решение о подготовке проекта правил землепользования и застройки;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- сроки подготовки документации по планировке территории для размещения объектов капитального строительства местного значения, на основании которой определяются или уточняются границы земельных участков для размещения таких объектов;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- сроки подготовки проектной документации и сроки строительства объектов капитального строительства местного значения;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- финансово-экономическое обоснование реализации генерального плана.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Также в проект генерального плана городского поселения – город Богучар, по мере необходимости, могут вноситься изменения и дополнения, связанные с разработкой и утверждением специализированных схем (например, установления санитарно-защитных и иных режимных зон), принятием и изменением стратегических документов социально-экономического развития и пр.</w:t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t>Порядок внесения изменений в генеральный план городского поселения – город Богучар установлен Градостроительным кодексом РФ и законом Воронежской области от 7.07.2006 № 61-ОЗ «О регулировании градостроительной деятельности в Воронежской области». Соответственно, после утверждения внесенных изменений в проект генерального плана, должны быть внесены изменения и в План реализации генерального плана.</w:t>
      </w:r>
    </w:p>
    <w:p w:rsidR="002A27BC" w:rsidRPr="002A27BC" w:rsidRDefault="002A27BC" w:rsidP="002A27BC">
      <w:pPr>
        <w:numPr>
          <w:ilvl w:val="1"/>
          <w:numId w:val="2"/>
        </w:numPr>
        <w:spacing w:after="0" w:line="240" w:lineRule="auto"/>
        <w:ind w:firstLine="709"/>
        <w:jc w:val="both"/>
        <w:outlineLvl w:val="1"/>
        <w:rPr>
          <w:rFonts w:asciiTheme="majorHAnsi" w:eastAsiaTheme="majorEastAsia" w:hAnsiTheme="majorHAnsi" w:cs="Arial"/>
          <w:color w:val="2E74B5" w:themeColor="accent1" w:themeShade="BF"/>
          <w:sz w:val="24"/>
          <w:szCs w:val="24"/>
          <w:lang w:eastAsia="ru-RU"/>
        </w:rPr>
      </w:pPr>
      <w:r w:rsidRPr="002A27BC">
        <w:rPr>
          <w:rFonts w:asciiTheme="majorHAnsi" w:eastAsiaTheme="majorEastAsia" w:hAnsiTheme="majorHAnsi" w:cs="Arial"/>
          <w:b/>
          <w:color w:val="2E74B5" w:themeColor="accent1" w:themeShade="BF"/>
          <w:sz w:val="24"/>
          <w:szCs w:val="24"/>
          <w:lang w:eastAsia="ru-RU"/>
        </w:rPr>
        <w:t>4. Раздел 4. Основные технико-экономические показатели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  <w:lang w:val="x-none"/>
        </w:rPr>
      </w:pPr>
    </w:p>
    <w:tbl>
      <w:tblPr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810"/>
        <w:gridCol w:w="4590"/>
        <w:gridCol w:w="236"/>
        <w:gridCol w:w="1425"/>
        <w:gridCol w:w="1560"/>
        <w:gridCol w:w="1560"/>
      </w:tblGrid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Един. </w:t>
            </w:r>
          </w:p>
          <w:p w:rsidR="002A27BC" w:rsidRPr="002A27BC" w:rsidRDefault="002A27BC" w:rsidP="002A27BC">
            <w:pPr>
              <w:snapToGrid w:val="0"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ind w:left="-113" w:right="-113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proofErr w:type="gramStart"/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Существую-щее</w:t>
            </w:r>
            <w:proofErr w:type="gramEnd"/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положение.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Проектное решение</w:t>
            </w:r>
          </w:p>
        </w:tc>
      </w:tr>
      <w:tr w:rsidR="002A27BC" w:rsidRPr="002A27BC" w:rsidTr="002A27BC">
        <w:trPr>
          <w:trHeight w:val="186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5</w:t>
            </w:r>
          </w:p>
        </w:tc>
      </w:tr>
      <w:tr w:rsidR="002A27BC" w:rsidRPr="002A27BC" w:rsidTr="002A27BC">
        <w:trPr>
          <w:trHeight w:val="415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Территория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Общая площадь земель городского поселения,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1325,0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1315,0</w:t>
            </w: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в том числе территории: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жилой зоны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га/%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290,0/21,9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346,0/26,3</w:t>
            </w: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общественно-деловой зоны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35,0/2,6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46,0/3,5</w:t>
            </w: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производственной зоны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92,0/6,9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92,6/7,0</w:t>
            </w: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рекреационной зоны – всего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147,0/11,2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210,0/16,0</w:t>
            </w: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в т.ч.: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зеленые насаждения общего пользования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10,0/0,8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23,0/1,8</w:t>
            </w: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зеленые насаждения специального назначения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61,0/4,6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121,0/9,2</w:t>
            </w: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лесные площади: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76,0/5,8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66,0/5,0</w:t>
            </w: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из них: лесной фонд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10,0/0,8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лесные насаждения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66,0/5,0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66,0/5,0</w:t>
            </w: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под водой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17,0/1,3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17,0/1,3</w:t>
            </w: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зона транспортной инфраструктуры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97,0/7,3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105,4/8,0</w:t>
            </w: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зона специального назначения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4,0/0,3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4,0/0,3</w:t>
            </w: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прочие территории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643,0/48,5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494,0/37,6</w:t>
            </w:r>
          </w:p>
        </w:tc>
      </w:tr>
      <w:tr w:rsidR="002A27BC" w:rsidRPr="002A27BC" w:rsidTr="002A27BC">
        <w:trPr>
          <w:trHeight w:val="365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Население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rHeight w:val="31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Численность городского населения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13,277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14,8</w:t>
            </w: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Возрастная структура населения: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моложе трудоспособного возраста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чел/%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2211/16,7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3034/20,5</w:t>
            </w: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в трудоспособном возрасте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8384/63,1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9309/62,9</w:t>
            </w:r>
          </w:p>
        </w:tc>
      </w:tr>
      <w:tr w:rsidR="002A27BC" w:rsidRPr="002A27BC" w:rsidTr="002A27BC">
        <w:trPr>
          <w:trHeight w:val="27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старше трудоспособного возраста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2682/20,2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2457/16,6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Жилищный фонд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Жилищный фонд – всего,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т. м</w:t>
            </w:r>
            <w:r w:rsidRPr="002A27BC">
              <w:rPr>
                <w:rFonts w:ascii="Arial" w:eastAsia="Calibri" w:hAnsi="Arial" w:cs="Arial"/>
                <w:sz w:val="24"/>
                <w:szCs w:val="24"/>
                <w:vertAlign w:val="superscript"/>
                <w:lang w:eastAsia="ru-RU"/>
              </w:rPr>
              <w:t xml:space="preserve">2 </w:t>
            </w: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общ. пл.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299,0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453,9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в том числе: 2-5 эт.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т. м</w:t>
            </w:r>
            <w:r w:rsidRPr="002A27BC">
              <w:rPr>
                <w:rFonts w:ascii="Arial" w:eastAsia="Calibri" w:hAnsi="Arial" w:cs="Arial"/>
                <w:sz w:val="24"/>
                <w:szCs w:val="24"/>
                <w:vertAlign w:val="superscript"/>
                <w:lang w:eastAsia="ru-RU"/>
              </w:rPr>
              <w:t xml:space="preserve">2 </w:t>
            </w: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общ. пл./%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175,0/58,5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329,5/72,6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 эт. усадебный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т. м</w:t>
            </w:r>
            <w:r w:rsidRPr="002A27BC">
              <w:rPr>
                <w:rFonts w:ascii="Arial" w:eastAsia="Calibri" w:hAnsi="Arial" w:cs="Arial"/>
                <w:sz w:val="24"/>
                <w:szCs w:val="24"/>
                <w:vertAlign w:val="superscript"/>
                <w:lang w:eastAsia="ru-RU"/>
              </w:rPr>
              <w:t xml:space="preserve">2 </w:t>
            </w: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общ. пл./%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124,0/41,5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124,4/27,4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Новое жилищное строительство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т. м</w:t>
            </w:r>
            <w:r w:rsidRPr="002A27BC">
              <w:rPr>
                <w:rFonts w:ascii="Arial" w:eastAsia="Calibri" w:hAnsi="Arial" w:cs="Arial"/>
                <w:sz w:val="24"/>
                <w:szCs w:val="24"/>
                <w:vertAlign w:val="superscript"/>
                <w:lang w:eastAsia="ru-RU"/>
              </w:rPr>
              <w:t xml:space="preserve">2 </w:t>
            </w: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общ. пл.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154,9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4-5 этажн.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58,7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2-3 этажн.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96,2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Средняя жилищная обеспеченность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м</w:t>
            </w:r>
            <w:r w:rsidRPr="002A27BC">
              <w:rPr>
                <w:rFonts w:ascii="Arial" w:eastAsia="Calibri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30,9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Обеспеченность жилищного фонда: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водопроводом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73,5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100,0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канализацией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73,5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100,0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газоснабжением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82,7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100,0</w:t>
            </w:r>
          </w:p>
        </w:tc>
      </w:tr>
      <w:tr w:rsidR="002A27BC" w:rsidRPr="002A27BC" w:rsidTr="002A27BC">
        <w:trPr>
          <w:trHeight w:val="349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Объекты социального и культурно-бытового обслуживания 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Детские дошкольные учреждения – всего,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790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на 1000 чел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53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Общеобразовательные школы – всего,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1911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2071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на 1000 чел.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140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Больницы – всего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коек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220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на 1000 человек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15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Поликлиники – всего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пос/см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350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на 1000 человек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24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Предприятия торговли – всего,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м</w:t>
            </w:r>
            <w:r w:rsidRPr="002A27BC">
              <w:rPr>
                <w:rFonts w:ascii="Arial" w:eastAsia="Calibri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торг. пл.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6887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6887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на 1000 человек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519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465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Предприятия общественного питания – всего,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пос. 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909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909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на 1000 человек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61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4.7.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Предприятия бытового обслуживания – всего,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раб. 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92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на 1000 человек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4.8.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Учреждения культуры – всего,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750</w:t>
            </w:r>
          </w:p>
        </w:tc>
      </w:tr>
      <w:tr w:rsidR="002A27BC" w:rsidRPr="002A27BC" w:rsidTr="002A27BC">
        <w:trPr>
          <w:trHeight w:val="42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на 1000 человек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51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4.9.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Физкультурно-спортивные сооружения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м</w:t>
            </w:r>
            <w:r w:rsidRPr="002A27BC">
              <w:rPr>
                <w:rFonts w:ascii="Arial" w:eastAsia="Calibri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площ. пола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1550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1550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на 1000 человек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105</w:t>
            </w:r>
          </w:p>
        </w:tc>
      </w:tr>
      <w:tr w:rsidR="002A27BC" w:rsidRPr="002A27BC" w:rsidTr="002A27BC">
        <w:trPr>
          <w:trHeight w:val="253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Транспортная инфраструктура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Протяженность улиц и дорог – всего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49,775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58,7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в т.ч.: протяженность УДС с твердым покрытием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39,125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44,2</w:t>
            </w:r>
          </w:p>
        </w:tc>
      </w:tr>
      <w:tr w:rsidR="002A27BC" w:rsidRPr="002A27BC" w:rsidTr="002A27BC">
        <w:trPr>
          <w:trHeight w:val="295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Инженерная инфраструктура.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6.1.1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Водопотребление – всего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м</w:t>
            </w:r>
            <w:r w:rsidRPr="002A27BC">
              <w:rPr>
                <w:rFonts w:ascii="Arial" w:eastAsia="Calibri" w:hAnsi="Arial" w:cs="Arial"/>
                <w:sz w:val="24"/>
                <w:szCs w:val="24"/>
                <w:vertAlign w:val="superscript"/>
                <w:lang w:eastAsia="ru-RU"/>
              </w:rPr>
              <w:t>3</w:t>
            </w: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2259,44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6200,0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6.1.2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Производительность водозаборных сооружений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т. м</w:t>
            </w:r>
            <w:r w:rsidRPr="002A27BC">
              <w:rPr>
                <w:rFonts w:ascii="Arial" w:eastAsia="Calibri" w:hAnsi="Arial" w:cs="Arial"/>
                <w:sz w:val="24"/>
                <w:szCs w:val="24"/>
                <w:vertAlign w:val="superscript"/>
                <w:lang w:eastAsia="ru-RU"/>
              </w:rPr>
              <w:t>3</w:t>
            </w: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7,44</w:t>
            </w:r>
          </w:p>
        </w:tc>
      </w:tr>
      <w:tr w:rsidR="002A27BC" w:rsidRPr="002A27BC" w:rsidTr="002A27BC">
        <w:trPr>
          <w:trHeight w:val="333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rPr>
          <w:trHeight w:val="333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6.2.1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Общее поступление сточных вод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т. м</w:t>
            </w:r>
            <w:r w:rsidRPr="002A27BC">
              <w:rPr>
                <w:rFonts w:ascii="Arial" w:eastAsia="Calibri" w:hAnsi="Arial" w:cs="Arial"/>
                <w:sz w:val="24"/>
                <w:szCs w:val="24"/>
                <w:vertAlign w:val="superscript"/>
                <w:lang w:eastAsia="ru-RU"/>
              </w:rPr>
              <w:t>3</w:t>
            </w: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4,12</w:t>
            </w: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6.2.2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Производительность очистных сооружений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т. м</w:t>
            </w:r>
            <w:r w:rsidRPr="002A27BC">
              <w:rPr>
                <w:rFonts w:ascii="Arial" w:eastAsia="Calibri" w:hAnsi="Arial" w:cs="Arial"/>
                <w:sz w:val="24"/>
                <w:szCs w:val="24"/>
                <w:vertAlign w:val="superscript"/>
                <w:lang w:eastAsia="ru-RU"/>
              </w:rPr>
              <w:t>3</w:t>
            </w: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7200</w:t>
            </w:r>
          </w:p>
        </w:tc>
      </w:tr>
      <w:tr w:rsidR="002A27BC" w:rsidRPr="002A27BC" w:rsidTr="002A27BC">
        <w:trPr>
          <w:trHeight w:val="393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Электроснабжение.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6.3.1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Потребление электроэнергии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кВт.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7538,3</w:t>
            </w:r>
          </w:p>
        </w:tc>
      </w:tr>
      <w:tr w:rsidR="002A27BC" w:rsidRPr="002A27BC" w:rsidTr="002A27BC">
        <w:trPr>
          <w:trHeight w:val="376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6.4.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Теплоснабжение.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6.4.1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Потребление тепла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90,0</w:t>
            </w:r>
          </w:p>
        </w:tc>
      </w:tr>
      <w:tr w:rsidR="002A27BC" w:rsidRPr="002A27BC" w:rsidTr="002A27BC">
        <w:trPr>
          <w:trHeight w:val="132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6.5.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Газоснабжение.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shd w:val="clear" w:color="auto" w:fill="FFFF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</w:tr>
      <w:tr w:rsidR="002A27BC" w:rsidRPr="002A27BC" w:rsidTr="002A27BC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6.5.1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Потребление газа -всего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млн. м</w:t>
            </w:r>
            <w:r w:rsidRPr="002A27BC">
              <w:rPr>
                <w:rFonts w:ascii="Arial" w:eastAsia="Calibri" w:hAnsi="Arial" w:cs="Arial"/>
                <w:sz w:val="24"/>
                <w:szCs w:val="24"/>
                <w:vertAlign w:val="superscript"/>
                <w:lang w:eastAsia="ru-RU"/>
              </w:rPr>
              <w:t>3</w:t>
            </w: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/год.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27BC" w:rsidRPr="002A27BC" w:rsidRDefault="002A27BC" w:rsidP="002A27BC">
            <w:pPr>
              <w:snapToGrid w:val="0"/>
              <w:spacing w:after="0" w:line="240" w:lineRule="auto"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2A27BC">
              <w:rPr>
                <w:rFonts w:ascii="Arial" w:eastAsia="Calibri" w:hAnsi="Arial" w:cs="Arial"/>
                <w:sz w:val="24"/>
                <w:szCs w:val="24"/>
                <w:lang w:eastAsia="ru-RU"/>
              </w:rPr>
              <w:t>33,0</w:t>
            </w:r>
          </w:p>
        </w:tc>
      </w:tr>
      <w:tr w:rsidR="002A27BC" w:rsidRPr="002A27BC" w:rsidTr="002A27BC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ind w:firstLine="567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A27BC" w:rsidRPr="002A27BC" w:rsidRDefault="002A27BC" w:rsidP="002A2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  <w:r w:rsidRPr="002A27BC">
        <w:rPr>
          <w:rFonts w:ascii="Arial" w:eastAsia="Calibri" w:hAnsi="Arial" w:cs="Arial"/>
          <w:kern w:val="24"/>
          <w:sz w:val="24"/>
          <w:szCs w:val="24"/>
        </w:rPr>
        <w:t>(р. 4 в ред. решения от 21.10.2016 № 87)</w:t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5791200" cy="4000500"/>
            <wp:effectExtent l="0" t="0" r="0" b="0"/>
            <wp:docPr id="7" name="Рисунок 7" descr="Схема_генерального_плана_100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хема_генерального_плана_10000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19775" cy="3971925"/>
            <wp:effectExtent l="0" t="0" r="9525" b="9525"/>
            <wp:docPr id="6" name="Рисунок 6" descr="Схема_инж_инфрастр_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_инж_инфрастр_100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br w:type="page"/>
      </w:r>
      <w:r w:rsidRPr="002A27B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62625" cy="4133850"/>
            <wp:effectExtent l="0" t="0" r="9525" b="0"/>
            <wp:docPr id="5" name="Рисунок 5" descr="Схема_соврем_использования_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_соврем_использования_100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62625" cy="3971925"/>
            <wp:effectExtent l="0" t="0" r="9525" b="9525"/>
            <wp:docPr id="4" name="Рисунок 4" descr="Схема_транспортной_инфрастр_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_транспортной_инфрастр_100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sz w:val="24"/>
          <w:szCs w:val="24"/>
          <w:lang w:eastAsia="ru-RU"/>
        </w:rPr>
        <w:br w:type="page"/>
      </w:r>
      <w:r w:rsidRPr="002A27B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15000" cy="4752975"/>
            <wp:effectExtent l="0" t="0" r="0" b="9525"/>
            <wp:docPr id="3" name="Рисунок 3" descr="Границы территорий подверженных риску ЧС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аницы территорий подверженных риску ЧС коп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62625" cy="4752975"/>
            <wp:effectExtent l="0" t="0" r="9525" b="9525"/>
            <wp:docPr id="2" name="Рисунок 2" descr="Зоны действия поражающих факторов 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оны действия поражающих факторов Ч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BC" w:rsidRPr="002A27BC" w:rsidRDefault="002A27BC" w:rsidP="002A27BC">
      <w:pPr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2A27B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62625" cy="3971925"/>
            <wp:effectExtent l="0" t="0" r="9525" b="9525"/>
            <wp:docPr id="1" name="Рисунок 1" descr="Схема_генерального_плана_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_генерального_плана_100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BC" w:rsidRPr="002A27BC" w:rsidRDefault="002A27BC" w:rsidP="002A27BC">
      <w:pPr>
        <w:suppressAutoHyphens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kern w:val="24"/>
          <w:sz w:val="24"/>
          <w:szCs w:val="24"/>
        </w:rPr>
      </w:pPr>
    </w:p>
    <w:p w:rsidR="00923271" w:rsidRDefault="00923271"/>
    <w:sectPr w:rsidR="00923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D76F2C"/>
    <w:multiLevelType w:val="multilevel"/>
    <w:tmpl w:val="04190023"/>
    <w:styleLink w:val="a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 w15:restartNumberingAfterBreak="0">
    <w:nsid w:val="64084039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53E"/>
    <w:rsid w:val="002A27BC"/>
    <w:rsid w:val="00923271"/>
    <w:rsid w:val="00AD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05DD0E-0266-48DF-9B59-E46B2AF39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aliases w:val="!Части документа"/>
    <w:basedOn w:val="a0"/>
    <w:next w:val="a0"/>
    <w:link w:val="10"/>
    <w:uiPriority w:val="9"/>
    <w:qFormat/>
    <w:rsid w:val="002A27BC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!Разделы документа"/>
    <w:basedOn w:val="a0"/>
    <w:link w:val="20"/>
    <w:uiPriority w:val="9"/>
    <w:qFormat/>
    <w:rsid w:val="002A27B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!Главы документа"/>
    <w:basedOn w:val="a0"/>
    <w:link w:val="30"/>
    <w:uiPriority w:val="9"/>
    <w:qFormat/>
    <w:rsid w:val="002A27BC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!Параграфы/Статьи документа"/>
    <w:basedOn w:val="a0"/>
    <w:link w:val="40"/>
    <w:uiPriority w:val="9"/>
    <w:qFormat/>
    <w:rsid w:val="002A27BC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qFormat/>
    <w:rsid w:val="002A27BC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qFormat/>
    <w:rsid w:val="002A27BC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qFormat/>
    <w:rsid w:val="002A27BC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qFormat/>
    <w:rsid w:val="002A27BC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qFormat/>
    <w:rsid w:val="002A27BC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1"/>
    <w:basedOn w:val="a1"/>
    <w:link w:val="1"/>
    <w:uiPriority w:val="9"/>
    <w:rsid w:val="002A27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aliases w:val="!Разделы документа Знак1"/>
    <w:basedOn w:val="a1"/>
    <w:link w:val="2"/>
    <w:uiPriority w:val="9"/>
    <w:rsid w:val="002A27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aliases w:val="!Главы документа Знак1"/>
    <w:basedOn w:val="a1"/>
    <w:link w:val="3"/>
    <w:uiPriority w:val="9"/>
    <w:rsid w:val="002A27B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aliases w:val="!Параграфы/Статьи документа Знак"/>
    <w:basedOn w:val="a1"/>
    <w:link w:val="4"/>
    <w:uiPriority w:val="9"/>
    <w:rsid w:val="002A27B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1"/>
    <w:link w:val="5"/>
    <w:uiPriority w:val="9"/>
    <w:rsid w:val="002A27B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rsid w:val="002A27B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2A27B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rsid w:val="002A27B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rsid w:val="002A27B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4">
    <w:name w:val="Hyperlink"/>
    <w:uiPriority w:val="99"/>
    <w:semiHidden/>
    <w:unhideWhenUsed/>
    <w:rsid w:val="002A27BC"/>
    <w:rPr>
      <w:strike w:val="0"/>
      <w:dstrike w:val="0"/>
      <w:color w:val="0000FF"/>
      <w:u w:val="none"/>
      <w:effect w:val="none"/>
    </w:rPr>
  </w:style>
  <w:style w:type="character" w:styleId="a5">
    <w:name w:val="FollowedHyperlink"/>
    <w:uiPriority w:val="99"/>
    <w:semiHidden/>
    <w:unhideWhenUsed/>
    <w:rsid w:val="002A27BC"/>
    <w:rPr>
      <w:color w:val="800080"/>
      <w:u w:val="single"/>
    </w:rPr>
  </w:style>
  <w:style w:type="character" w:styleId="a6">
    <w:name w:val="Emphasis"/>
    <w:aliases w:val="базовый,Базовый"/>
    <w:uiPriority w:val="20"/>
    <w:qFormat/>
    <w:rsid w:val="002A27BC"/>
    <w:rPr>
      <w:rFonts w:ascii="Times New Roman" w:hAnsi="Times New Roman" w:cs="Times New Roman" w:hint="default"/>
      <w:i w:val="0"/>
      <w:iCs w:val="0"/>
      <w:sz w:val="24"/>
    </w:rPr>
  </w:style>
  <w:style w:type="character" w:customStyle="1" w:styleId="11">
    <w:name w:val="Заголовок 1 Знак1"/>
    <w:aliases w:val="!Части документа Знак"/>
    <w:basedOn w:val="a1"/>
    <w:uiPriority w:val="9"/>
    <w:rsid w:val="002A27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1"/>
    <w:aliases w:val="!Разделы документа Знак"/>
    <w:basedOn w:val="a1"/>
    <w:uiPriority w:val="9"/>
    <w:semiHidden/>
    <w:rsid w:val="002A27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">
    <w:name w:val="Заголовок 3 Знак1"/>
    <w:aliases w:val="!Главы документа Знак"/>
    <w:basedOn w:val="a1"/>
    <w:uiPriority w:val="9"/>
    <w:semiHidden/>
    <w:rsid w:val="002A27B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">
    <w:name w:val="HTML Variable"/>
    <w:aliases w:val="!Ссылки в документе"/>
    <w:uiPriority w:val="99"/>
    <w:semiHidden/>
    <w:unhideWhenUsed/>
    <w:rsid w:val="002A27BC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paragraph" w:styleId="a7">
    <w:name w:val="Normal (Web)"/>
    <w:basedOn w:val="a0"/>
    <w:uiPriority w:val="99"/>
    <w:semiHidden/>
    <w:unhideWhenUsed/>
    <w:rsid w:val="002A27BC"/>
    <w:pPr>
      <w:spacing w:before="100" w:beforeAutospacing="1" w:after="119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paragraph" w:styleId="12">
    <w:name w:val="toc 1"/>
    <w:basedOn w:val="a0"/>
    <w:next w:val="a0"/>
    <w:autoRedefine/>
    <w:uiPriority w:val="39"/>
    <w:semiHidden/>
    <w:unhideWhenUsed/>
    <w:rsid w:val="002A27BC"/>
    <w:pPr>
      <w:tabs>
        <w:tab w:val="right" w:leader="dot" w:pos="9627"/>
      </w:tabs>
      <w:snapToGrid w:val="0"/>
      <w:spacing w:after="0" w:line="240" w:lineRule="auto"/>
      <w:ind w:firstLine="567"/>
      <w:jc w:val="both"/>
    </w:pPr>
    <w:rPr>
      <w:rFonts w:ascii="Arial" w:eastAsia="Times New Roman" w:hAnsi="Arial" w:cs="Times New Roman"/>
      <w:b/>
      <w:bCs/>
      <w:sz w:val="28"/>
      <w:szCs w:val="24"/>
      <w:lang w:eastAsia="ru-RU"/>
    </w:rPr>
  </w:style>
  <w:style w:type="paragraph" w:styleId="22">
    <w:name w:val="toc 2"/>
    <w:basedOn w:val="a0"/>
    <w:next w:val="a0"/>
    <w:autoRedefine/>
    <w:uiPriority w:val="39"/>
    <w:semiHidden/>
    <w:unhideWhenUsed/>
    <w:rsid w:val="002A27BC"/>
    <w:pPr>
      <w:spacing w:after="0" w:line="240" w:lineRule="auto"/>
      <w:ind w:left="240" w:firstLine="567"/>
      <w:jc w:val="both"/>
    </w:pPr>
    <w:rPr>
      <w:rFonts w:ascii="Arial" w:eastAsia="Times New Roman" w:hAnsi="Arial" w:cs="Times New Roman"/>
      <w:b/>
      <w:sz w:val="26"/>
      <w:szCs w:val="24"/>
      <w:lang w:eastAsia="ru-RU"/>
    </w:rPr>
  </w:style>
  <w:style w:type="paragraph" w:styleId="32">
    <w:name w:val="toc 3"/>
    <w:basedOn w:val="a0"/>
    <w:next w:val="a0"/>
    <w:autoRedefine/>
    <w:uiPriority w:val="39"/>
    <w:semiHidden/>
    <w:unhideWhenUsed/>
    <w:rsid w:val="002A27BC"/>
    <w:pPr>
      <w:tabs>
        <w:tab w:val="right" w:leader="dot" w:pos="9627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paragraph" w:styleId="41">
    <w:name w:val="toc 4"/>
    <w:basedOn w:val="a0"/>
    <w:next w:val="a0"/>
    <w:autoRedefine/>
    <w:uiPriority w:val="39"/>
    <w:semiHidden/>
    <w:unhideWhenUsed/>
    <w:rsid w:val="002A27BC"/>
    <w:pPr>
      <w:spacing w:after="0" w:line="240" w:lineRule="auto"/>
      <w:ind w:left="720"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a8">
    <w:name w:val="Текст примечания Знак"/>
    <w:aliases w:val="!Равноширинный текст документа Знак1"/>
    <w:link w:val="a9"/>
    <w:semiHidden/>
    <w:locked/>
    <w:rsid w:val="002A27BC"/>
    <w:rPr>
      <w:rFonts w:ascii="Courier" w:hAnsi="Courier"/>
    </w:rPr>
  </w:style>
  <w:style w:type="paragraph" w:styleId="a9">
    <w:name w:val="annotation text"/>
    <w:aliases w:val="!Равноширинный текст документа"/>
    <w:basedOn w:val="a0"/>
    <w:link w:val="a8"/>
    <w:semiHidden/>
    <w:unhideWhenUsed/>
    <w:rsid w:val="002A27BC"/>
    <w:pPr>
      <w:spacing w:after="0" w:line="240" w:lineRule="auto"/>
      <w:ind w:firstLine="567"/>
      <w:jc w:val="both"/>
    </w:pPr>
    <w:rPr>
      <w:rFonts w:ascii="Courier" w:hAnsi="Courier"/>
    </w:rPr>
  </w:style>
  <w:style w:type="character" w:customStyle="1" w:styleId="13">
    <w:name w:val="Текст примечания Знак1"/>
    <w:aliases w:val="!Равноширинный текст документа Знак"/>
    <w:basedOn w:val="a1"/>
    <w:uiPriority w:val="99"/>
    <w:semiHidden/>
    <w:rsid w:val="002A27BC"/>
    <w:rPr>
      <w:sz w:val="20"/>
      <w:szCs w:val="20"/>
    </w:rPr>
  </w:style>
  <w:style w:type="paragraph" w:styleId="aa">
    <w:name w:val="header"/>
    <w:basedOn w:val="a0"/>
    <w:link w:val="ab"/>
    <w:uiPriority w:val="99"/>
    <w:semiHidden/>
    <w:unhideWhenUsed/>
    <w:rsid w:val="002A27BC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ab">
    <w:name w:val="Верхний колонтитул Знак"/>
    <w:basedOn w:val="a1"/>
    <w:link w:val="aa"/>
    <w:uiPriority w:val="99"/>
    <w:semiHidden/>
    <w:rsid w:val="002A27BC"/>
    <w:rPr>
      <w:rFonts w:ascii="Arial" w:eastAsia="Times New Roman" w:hAnsi="Arial" w:cs="Times New Roman"/>
      <w:sz w:val="26"/>
      <w:szCs w:val="24"/>
      <w:lang w:eastAsia="ru-RU"/>
    </w:rPr>
  </w:style>
  <w:style w:type="paragraph" w:styleId="ac">
    <w:name w:val="footer"/>
    <w:basedOn w:val="a0"/>
    <w:link w:val="ad"/>
    <w:uiPriority w:val="99"/>
    <w:semiHidden/>
    <w:unhideWhenUsed/>
    <w:rsid w:val="002A27BC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semiHidden/>
    <w:rsid w:val="002A27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0"/>
    <w:next w:val="a0"/>
    <w:uiPriority w:val="35"/>
    <w:qFormat/>
    <w:rsid w:val="002A27BC"/>
    <w:pPr>
      <w:widowControl w:val="0"/>
      <w:autoSpaceDE w:val="0"/>
      <w:autoSpaceDN w:val="0"/>
      <w:adjustRightInd w:val="0"/>
      <w:spacing w:after="0"/>
      <w:ind w:firstLine="567"/>
      <w:jc w:val="center"/>
    </w:pPr>
    <w:rPr>
      <w:rFonts w:ascii="Arial" w:eastAsia="Times New Roman" w:hAnsi="Arial" w:cs="Times New Roman"/>
      <w:i/>
      <w:iCs/>
      <w:sz w:val="32"/>
      <w:szCs w:val="32"/>
      <w:lang w:eastAsia="ru-RU"/>
    </w:rPr>
  </w:style>
  <w:style w:type="paragraph" w:styleId="af">
    <w:name w:val="Body Text"/>
    <w:basedOn w:val="a0"/>
    <w:link w:val="af0"/>
    <w:uiPriority w:val="99"/>
    <w:semiHidden/>
    <w:unhideWhenUsed/>
    <w:rsid w:val="002A27B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af0">
    <w:name w:val="Основной текст Знак"/>
    <w:basedOn w:val="a1"/>
    <w:link w:val="af"/>
    <w:uiPriority w:val="99"/>
    <w:semiHidden/>
    <w:rsid w:val="002A27BC"/>
    <w:rPr>
      <w:rFonts w:ascii="Arial" w:eastAsia="Times New Roman" w:hAnsi="Arial" w:cs="Times New Roman"/>
      <w:sz w:val="28"/>
      <w:szCs w:val="24"/>
      <w:lang w:eastAsia="ru-RU"/>
    </w:rPr>
  </w:style>
  <w:style w:type="paragraph" w:styleId="af1">
    <w:name w:val="List"/>
    <w:basedOn w:val="af"/>
    <w:uiPriority w:val="99"/>
    <w:semiHidden/>
    <w:unhideWhenUsed/>
    <w:rsid w:val="002A27BC"/>
    <w:pPr>
      <w:suppressAutoHyphens/>
      <w:spacing w:after="120"/>
      <w:jc w:val="left"/>
    </w:pPr>
    <w:rPr>
      <w:rFonts w:cs="Arial"/>
      <w:sz w:val="24"/>
      <w:lang w:eastAsia="ar-SA"/>
    </w:rPr>
  </w:style>
  <w:style w:type="paragraph" w:styleId="af2">
    <w:name w:val="Title"/>
    <w:basedOn w:val="a0"/>
    <w:link w:val="af3"/>
    <w:uiPriority w:val="10"/>
    <w:qFormat/>
    <w:rsid w:val="002A27BC"/>
    <w:pPr>
      <w:spacing w:after="0" w:line="240" w:lineRule="auto"/>
      <w:ind w:firstLine="567"/>
      <w:jc w:val="center"/>
    </w:pPr>
    <w:rPr>
      <w:rFonts w:ascii="Arial" w:eastAsia="Times New Roman" w:hAnsi="Arial" w:cs="Times New Roman"/>
      <w:b/>
      <w:sz w:val="26"/>
      <w:szCs w:val="24"/>
      <w:lang w:val="x-none" w:eastAsia="x-none"/>
    </w:rPr>
  </w:style>
  <w:style w:type="character" w:customStyle="1" w:styleId="af3">
    <w:name w:val="Название Знак"/>
    <w:basedOn w:val="a1"/>
    <w:link w:val="af2"/>
    <w:uiPriority w:val="10"/>
    <w:rsid w:val="002A27BC"/>
    <w:rPr>
      <w:rFonts w:ascii="Arial" w:eastAsia="Times New Roman" w:hAnsi="Arial" w:cs="Times New Roman"/>
      <w:b/>
      <w:sz w:val="26"/>
      <w:szCs w:val="24"/>
      <w:lang w:val="x-none" w:eastAsia="x-none"/>
    </w:rPr>
  </w:style>
  <w:style w:type="paragraph" w:styleId="af4">
    <w:name w:val="Body Text Indent"/>
    <w:basedOn w:val="a0"/>
    <w:link w:val="af5"/>
    <w:uiPriority w:val="99"/>
    <w:semiHidden/>
    <w:unhideWhenUsed/>
    <w:rsid w:val="002A27BC"/>
    <w:pPr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Основной текст с отступом Знак"/>
    <w:basedOn w:val="a1"/>
    <w:link w:val="af4"/>
    <w:uiPriority w:val="99"/>
    <w:semiHidden/>
    <w:rsid w:val="002A27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Document Map"/>
    <w:basedOn w:val="a0"/>
    <w:link w:val="af7"/>
    <w:uiPriority w:val="99"/>
    <w:semiHidden/>
    <w:unhideWhenUsed/>
    <w:rsid w:val="002A27BC"/>
    <w:pPr>
      <w:shd w:val="clear" w:color="auto" w:fill="000080"/>
      <w:spacing w:after="0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7">
    <w:name w:val="Схема документа Знак"/>
    <w:basedOn w:val="a1"/>
    <w:link w:val="af6"/>
    <w:uiPriority w:val="99"/>
    <w:semiHidden/>
    <w:rsid w:val="002A27B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8">
    <w:name w:val="Balloon Text"/>
    <w:basedOn w:val="a0"/>
    <w:link w:val="af9"/>
    <w:uiPriority w:val="99"/>
    <w:semiHidden/>
    <w:unhideWhenUsed/>
    <w:rsid w:val="002A27BC"/>
    <w:pPr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9">
    <w:name w:val="Текст выноски Знак"/>
    <w:basedOn w:val="a1"/>
    <w:link w:val="af8"/>
    <w:uiPriority w:val="99"/>
    <w:semiHidden/>
    <w:rsid w:val="002A27BC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List Paragraph"/>
    <w:basedOn w:val="a0"/>
    <w:uiPriority w:val="34"/>
    <w:qFormat/>
    <w:rsid w:val="002A27BC"/>
    <w:pPr>
      <w:spacing w:after="0" w:line="240" w:lineRule="auto"/>
      <w:ind w:left="720" w:firstLine="510"/>
      <w:contextualSpacing/>
      <w:jc w:val="both"/>
    </w:pPr>
    <w:rPr>
      <w:rFonts w:ascii="Arial" w:eastAsia="Calibri" w:hAnsi="Arial" w:cs="Times New Roman"/>
      <w:sz w:val="26"/>
    </w:rPr>
  </w:style>
  <w:style w:type="character" w:customStyle="1" w:styleId="100">
    <w:name w:val="1 Основной текст 0"/>
    <w:aliases w:val="95 ПК,А. Основной текст 0 Знак Знак Знак Знак Знак Знак Знак Знак"/>
    <w:rsid w:val="002A27BC"/>
    <w:rPr>
      <w:rFonts w:ascii="Calibri" w:eastAsia="Calibri" w:hAnsi="Calibri" w:cs="Calibri" w:hint="default"/>
      <w:color w:val="000000"/>
      <w:kern w:val="24"/>
      <w:sz w:val="24"/>
      <w:szCs w:val="22"/>
      <w:lang w:eastAsia="en-US"/>
    </w:rPr>
  </w:style>
  <w:style w:type="paragraph" w:customStyle="1" w:styleId="101">
    <w:name w:val="1 Основной текст 01"/>
    <w:aliases w:val="95 ПК1,А. Основной текст 0 Знак Знак Знак Знак Знак Знак1,А. Основной текст 01,Основной текст 01,А. Основной текст 0 Знак Знак Знак Знак1,А. Основной текст 0 Знак Знак1,1. Основной текст 01,Основной тек...1"/>
    <w:basedOn w:val="a0"/>
    <w:rsid w:val="002A27BC"/>
    <w:pPr>
      <w:suppressAutoHyphens/>
      <w:spacing w:after="0" w:line="240" w:lineRule="auto"/>
      <w:ind w:firstLine="539"/>
      <w:jc w:val="both"/>
    </w:pPr>
    <w:rPr>
      <w:rFonts w:ascii="Calibri" w:eastAsia="Calibri" w:hAnsi="Calibri" w:cs="Times New Roman"/>
      <w:color w:val="000000"/>
      <w:kern w:val="24"/>
      <w:sz w:val="24"/>
      <w:szCs w:val="24"/>
    </w:rPr>
  </w:style>
  <w:style w:type="paragraph" w:customStyle="1" w:styleId="afb">
    <w:name w:val="Содержимое таблицы"/>
    <w:basedOn w:val="a0"/>
    <w:rsid w:val="002A27BC"/>
    <w:pPr>
      <w:widowControl w:val="0"/>
      <w:suppressLineNumbers/>
      <w:suppressAutoHyphens/>
      <w:spacing w:after="0" w:line="240" w:lineRule="auto"/>
      <w:ind w:firstLine="567"/>
      <w:jc w:val="both"/>
    </w:pPr>
    <w:rPr>
      <w:rFonts w:ascii="Arial" w:eastAsia="Arial Unicode MS" w:hAnsi="Arial" w:cs="Tahoma"/>
      <w:sz w:val="26"/>
      <w:szCs w:val="24"/>
      <w:lang w:eastAsia="ru-RU" w:bidi="ru-RU"/>
    </w:rPr>
  </w:style>
  <w:style w:type="paragraph" w:customStyle="1" w:styleId="afc">
    <w:name w:val="Заголовок"/>
    <w:basedOn w:val="a0"/>
    <w:next w:val="af"/>
    <w:rsid w:val="002A27BC"/>
    <w:pPr>
      <w:keepNext/>
      <w:suppressAutoHyphens/>
      <w:spacing w:before="240" w:after="120" w:line="240" w:lineRule="auto"/>
      <w:ind w:firstLine="567"/>
      <w:jc w:val="both"/>
    </w:pPr>
    <w:rPr>
      <w:rFonts w:ascii="Arial" w:eastAsia="Times New Roman" w:hAnsi="Arial" w:cs="Arial"/>
      <w:sz w:val="28"/>
      <w:szCs w:val="28"/>
      <w:lang w:eastAsia="ar-SA"/>
    </w:rPr>
  </w:style>
  <w:style w:type="paragraph" w:customStyle="1" w:styleId="14">
    <w:name w:val="Название1"/>
    <w:basedOn w:val="a0"/>
    <w:rsid w:val="002A27BC"/>
    <w:pPr>
      <w:suppressLineNumbers/>
      <w:suppressAutoHyphens/>
      <w:spacing w:before="120" w:after="120" w:line="240" w:lineRule="auto"/>
      <w:ind w:firstLine="567"/>
      <w:jc w:val="both"/>
    </w:pPr>
    <w:rPr>
      <w:rFonts w:ascii="Arial" w:eastAsia="Times New Roman" w:hAnsi="Arial" w:cs="Arial"/>
      <w:i/>
      <w:iCs/>
      <w:sz w:val="26"/>
      <w:szCs w:val="24"/>
      <w:lang w:eastAsia="ar-SA"/>
    </w:rPr>
  </w:style>
  <w:style w:type="paragraph" w:customStyle="1" w:styleId="15">
    <w:name w:val="Указатель1"/>
    <w:basedOn w:val="a0"/>
    <w:rsid w:val="002A27BC"/>
    <w:pPr>
      <w:suppressLineNumbers/>
      <w:suppressAutoHyphens/>
      <w:spacing w:after="0" w:line="240" w:lineRule="auto"/>
      <w:ind w:firstLine="567"/>
      <w:jc w:val="both"/>
    </w:pPr>
    <w:rPr>
      <w:rFonts w:ascii="Arial" w:eastAsia="Times New Roman" w:hAnsi="Arial" w:cs="Arial"/>
      <w:sz w:val="26"/>
      <w:szCs w:val="24"/>
      <w:lang w:eastAsia="ar-SA"/>
    </w:rPr>
  </w:style>
  <w:style w:type="paragraph" w:customStyle="1" w:styleId="16">
    <w:name w:val="Схема документа1"/>
    <w:basedOn w:val="a0"/>
    <w:rsid w:val="002A27BC"/>
    <w:pPr>
      <w:shd w:val="clear" w:color="auto" w:fill="000080"/>
      <w:suppressAutoHyphens/>
      <w:spacing w:after="0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afd">
    <w:name w:val="Заголовок таблицы"/>
    <w:basedOn w:val="afb"/>
    <w:rsid w:val="002A27BC"/>
    <w:pPr>
      <w:widowControl/>
      <w:jc w:val="center"/>
    </w:pPr>
    <w:rPr>
      <w:rFonts w:ascii="Times New Roman" w:eastAsia="Times New Roman" w:hAnsi="Times New Roman" w:cs="Times New Roman"/>
      <w:b/>
      <w:bCs/>
      <w:lang w:eastAsia="ar-SA" w:bidi="ar-SA"/>
    </w:rPr>
  </w:style>
  <w:style w:type="paragraph" w:customStyle="1" w:styleId="102">
    <w:name w:val="Оглавление 10"/>
    <w:basedOn w:val="15"/>
    <w:rsid w:val="002A27BC"/>
    <w:pPr>
      <w:tabs>
        <w:tab w:val="right" w:leader="dot" w:pos="9637"/>
      </w:tabs>
      <w:ind w:left="2547"/>
    </w:pPr>
  </w:style>
  <w:style w:type="paragraph" w:customStyle="1" w:styleId="afe">
    <w:name w:val="Содержимое врезки"/>
    <w:basedOn w:val="af"/>
    <w:rsid w:val="002A27BC"/>
    <w:pPr>
      <w:suppressAutoHyphens/>
      <w:spacing w:after="120"/>
      <w:jc w:val="left"/>
    </w:pPr>
    <w:rPr>
      <w:sz w:val="24"/>
      <w:lang w:eastAsia="ar-SA"/>
    </w:rPr>
  </w:style>
  <w:style w:type="paragraph" w:customStyle="1" w:styleId="ConsPlusNormal">
    <w:name w:val="ConsPlusNormal"/>
    <w:next w:val="a0"/>
    <w:rsid w:val="002A27BC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ListParagraph">
    <w:name w:val="List Paragraph"/>
    <w:basedOn w:val="a0"/>
    <w:qFormat/>
    <w:rsid w:val="002A27BC"/>
    <w:pPr>
      <w:spacing w:after="0" w:line="240" w:lineRule="auto"/>
      <w:ind w:left="720"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0">
    <w:name w:val="Основной 0 Знак"/>
    <w:aliases w:val="95ПК Знак"/>
    <w:link w:val="00"/>
    <w:locked/>
    <w:rsid w:val="002A27BC"/>
    <w:rPr>
      <w:sz w:val="24"/>
      <w:lang w:val="en-US" w:eastAsia="ru-RU"/>
    </w:rPr>
  </w:style>
  <w:style w:type="paragraph" w:customStyle="1" w:styleId="00">
    <w:name w:val="Основной 0"/>
    <w:aliases w:val="95ПК"/>
    <w:basedOn w:val="a0"/>
    <w:link w:val="0"/>
    <w:qFormat/>
    <w:rsid w:val="002A27BC"/>
    <w:pPr>
      <w:spacing w:after="0" w:line="240" w:lineRule="auto"/>
      <w:ind w:firstLine="539"/>
      <w:jc w:val="both"/>
    </w:pPr>
    <w:rPr>
      <w:sz w:val="24"/>
      <w:lang w:val="en-US" w:eastAsia="ru-RU"/>
    </w:rPr>
  </w:style>
  <w:style w:type="paragraph" w:customStyle="1" w:styleId="aff">
    <w:name w:val="Основной стиль"/>
    <w:basedOn w:val="a0"/>
    <w:rsid w:val="002A27BC"/>
    <w:pPr>
      <w:suppressAutoHyphens/>
      <w:spacing w:before="280" w:after="280" w:line="240" w:lineRule="auto"/>
      <w:ind w:firstLine="709"/>
      <w:jc w:val="both"/>
    </w:pPr>
    <w:rPr>
      <w:rFonts w:ascii="Arial" w:eastAsia="Times New Roman" w:hAnsi="Arial" w:cs="Times New Roman"/>
      <w:sz w:val="26"/>
      <w:szCs w:val="28"/>
      <w:lang w:eastAsia="ar-SA"/>
    </w:rPr>
  </w:style>
  <w:style w:type="paragraph" w:customStyle="1" w:styleId="Title">
    <w:name w:val="Title!Название НПА"/>
    <w:basedOn w:val="a0"/>
    <w:rsid w:val="002A27BC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2A27BC"/>
    <w:pPr>
      <w:spacing w:before="120" w:after="120" w:line="240" w:lineRule="auto"/>
      <w:jc w:val="right"/>
    </w:pPr>
    <w:rPr>
      <w:rFonts w:ascii="Times New Roman" w:eastAsia="Times New Roman" w:hAnsi="Times New Roman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2A27BC"/>
    <w:pPr>
      <w:spacing w:after="0" w:line="240" w:lineRule="auto"/>
    </w:pPr>
    <w:rPr>
      <w:rFonts w:ascii="Times New Roman" w:eastAsia="Times New Roman" w:hAnsi="Times New Roman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2A27BC"/>
    <w:pPr>
      <w:spacing w:after="0" w:line="240" w:lineRule="auto"/>
      <w:jc w:val="center"/>
    </w:pPr>
    <w:rPr>
      <w:rFonts w:ascii="Times New Roman" w:eastAsia="Times New Roman" w:hAnsi="Times New Roman" w:cs="Arial"/>
      <w:b/>
      <w:bCs/>
      <w:kern w:val="28"/>
      <w:sz w:val="24"/>
      <w:szCs w:val="32"/>
      <w:lang w:eastAsia="ru-RU"/>
    </w:rPr>
  </w:style>
  <w:style w:type="character" w:customStyle="1" w:styleId="17">
    <w:name w:val="1Орган_ПР Знак"/>
    <w:link w:val="18"/>
    <w:locked/>
    <w:rsid w:val="002A27BC"/>
    <w:rPr>
      <w:rFonts w:ascii="Arial" w:hAnsi="Arial" w:cs="Arial"/>
      <w:b/>
      <w:caps/>
      <w:sz w:val="26"/>
      <w:szCs w:val="28"/>
      <w:lang w:eastAsia="ar-SA"/>
    </w:rPr>
  </w:style>
  <w:style w:type="paragraph" w:customStyle="1" w:styleId="18">
    <w:name w:val="1Орган_ПР"/>
    <w:basedOn w:val="a0"/>
    <w:link w:val="17"/>
    <w:qFormat/>
    <w:rsid w:val="002A27BC"/>
    <w:pPr>
      <w:snapToGrid w:val="0"/>
      <w:spacing w:after="0" w:line="240" w:lineRule="auto"/>
      <w:jc w:val="center"/>
    </w:pPr>
    <w:rPr>
      <w:rFonts w:ascii="Arial" w:hAnsi="Arial" w:cs="Arial"/>
      <w:b/>
      <w:caps/>
      <w:sz w:val="26"/>
      <w:szCs w:val="28"/>
      <w:lang w:eastAsia="ar-SA"/>
    </w:rPr>
  </w:style>
  <w:style w:type="character" w:customStyle="1" w:styleId="23">
    <w:name w:val="2Название Знак"/>
    <w:link w:val="24"/>
    <w:locked/>
    <w:rsid w:val="002A27BC"/>
    <w:rPr>
      <w:rFonts w:ascii="Arial" w:hAnsi="Arial" w:cs="Arial"/>
      <w:b/>
      <w:sz w:val="26"/>
      <w:szCs w:val="28"/>
      <w:lang w:eastAsia="ar-SA"/>
    </w:rPr>
  </w:style>
  <w:style w:type="paragraph" w:customStyle="1" w:styleId="24">
    <w:name w:val="2Название"/>
    <w:basedOn w:val="a0"/>
    <w:link w:val="23"/>
    <w:qFormat/>
    <w:rsid w:val="002A27BC"/>
    <w:pPr>
      <w:spacing w:after="0" w:line="240" w:lineRule="auto"/>
      <w:ind w:right="4536"/>
      <w:jc w:val="both"/>
    </w:pPr>
    <w:rPr>
      <w:rFonts w:ascii="Arial" w:hAnsi="Arial" w:cs="Arial"/>
      <w:b/>
      <w:sz w:val="26"/>
      <w:szCs w:val="28"/>
      <w:lang w:eastAsia="ar-SA"/>
    </w:rPr>
  </w:style>
  <w:style w:type="character" w:customStyle="1" w:styleId="33">
    <w:name w:val="3Приложение Знак"/>
    <w:link w:val="34"/>
    <w:locked/>
    <w:rsid w:val="002A27BC"/>
    <w:rPr>
      <w:rFonts w:ascii="Arial" w:hAnsi="Arial" w:cs="Arial"/>
      <w:sz w:val="26"/>
      <w:szCs w:val="28"/>
    </w:rPr>
  </w:style>
  <w:style w:type="paragraph" w:customStyle="1" w:styleId="34">
    <w:name w:val="3Приложение"/>
    <w:basedOn w:val="a0"/>
    <w:link w:val="33"/>
    <w:qFormat/>
    <w:rsid w:val="002A27BC"/>
    <w:pPr>
      <w:spacing w:after="0" w:line="240" w:lineRule="auto"/>
      <w:ind w:left="5103"/>
      <w:jc w:val="both"/>
    </w:pPr>
    <w:rPr>
      <w:rFonts w:ascii="Arial" w:hAnsi="Arial" w:cs="Arial"/>
      <w:sz w:val="26"/>
      <w:szCs w:val="28"/>
    </w:rPr>
  </w:style>
  <w:style w:type="paragraph" w:customStyle="1" w:styleId="4-">
    <w:name w:val="4Таблица-Т"/>
    <w:basedOn w:val="34"/>
    <w:qFormat/>
    <w:rsid w:val="002A27BC"/>
    <w:pPr>
      <w:ind w:left="0"/>
    </w:pPr>
    <w:rPr>
      <w:sz w:val="22"/>
    </w:rPr>
  </w:style>
  <w:style w:type="paragraph" w:customStyle="1" w:styleId="FR1">
    <w:name w:val="FR1"/>
    <w:rsid w:val="002A27BC"/>
    <w:pPr>
      <w:widowControl w:val="0"/>
      <w:autoSpaceDE w:val="0"/>
      <w:autoSpaceDN w:val="0"/>
      <w:adjustRightInd w:val="0"/>
      <w:spacing w:before="42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5">
    <w:name w:val="Знак Знак3"/>
    <w:semiHidden/>
    <w:rsid w:val="002A27BC"/>
    <w:rPr>
      <w:rFonts w:ascii="Arial" w:hAnsi="Arial" w:cs="Arial" w:hint="default"/>
      <w:b/>
      <w:bCs/>
      <w:iCs/>
      <w:sz w:val="26"/>
      <w:szCs w:val="28"/>
      <w:lang w:val="ru-RU" w:eastAsia="ru-RU" w:bidi="ar-SA"/>
    </w:rPr>
  </w:style>
  <w:style w:type="character" w:customStyle="1" w:styleId="WW8Num2z0">
    <w:name w:val="WW8Num2z0"/>
    <w:rsid w:val="002A27BC"/>
    <w:rPr>
      <w:rFonts w:ascii="Symbol" w:hAnsi="Symbol" w:cs="Symbol" w:hint="default"/>
    </w:rPr>
  </w:style>
  <w:style w:type="character" w:customStyle="1" w:styleId="WW8Num3z0">
    <w:name w:val="WW8Num3z0"/>
    <w:rsid w:val="002A27BC"/>
    <w:rPr>
      <w:rFonts w:ascii="Symbol" w:hAnsi="Symbol" w:cs="Symbol" w:hint="default"/>
    </w:rPr>
  </w:style>
  <w:style w:type="character" w:customStyle="1" w:styleId="WW8Num4z0">
    <w:name w:val="WW8Num4z0"/>
    <w:rsid w:val="002A27BC"/>
    <w:rPr>
      <w:rFonts w:ascii="Symbol" w:hAnsi="Symbol" w:cs="Symbol" w:hint="default"/>
    </w:rPr>
  </w:style>
  <w:style w:type="character" w:customStyle="1" w:styleId="WW8Num5z0">
    <w:name w:val="WW8Num5z0"/>
    <w:rsid w:val="002A27BC"/>
    <w:rPr>
      <w:rFonts w:ascii="Symbol" w:hAnsi="Symbol" w:cs="Symbol" w:hint="default"/>
    </w:rPr>
  </w:style>
  <w:style w:type="character" w:customStyle="1" w:styleId="WW8Num6z0">
    <w:name w:val="WW8Num6z0"/>
    <w:rsid w:val="002A27BC"/>
    <w:rPr>
      <w:rFonts w:ascii="Symbol" w:hAnsi="Symbol" w:cs="Symbol" w:hint="default"/>
    </w:rPr>
  </w:style>
  <w:style w:type="character" w:customStyle="1" w:styleId="WW8Num7z0">
    <w:name w:val="WW8Num7z0"/>
    <w:rsid w:val="002A27BC"/>
    <w:rPr>
      <w:rFonts w:ascii="Symbol" w:hAnsi="Symbol" w:cs="Symbol" w:hint="default"/>
    </w:rPr>
  </w:style>
  <w:style w:type="character" w:customStyle="1" w:styleId="WW8Num8z0">
    <w:name w:val="WW8Num8z0"/>
    <w:rsid w:val="002A27BC"/>
    <w:rPr>
      <w:rFonts w:ascii="Symbol" w:hAnsi="Symbol" w:cs="Symbol" w:hint="default"/>
    </w:rPr>
  </w:style>
  <w:style w:type="character" w:customStyle="1" w:styleId="WW8Num10z0">
    <w:name w:val="WW8Num10z0"/>
    <w:rsid w:val="002A27BC"/>
    <w:rPr>
      <w:rFonts w:ascii="Symbol" w:hAnsi="Symbol" w:cs="Symbol" w:hint="default"/>
    </w:rPr>
  </w:style>
  <w:style w:type="character" w:customStyle="1" w:styleId="WW8Num11z0">
    <w:name w:val="WW8Num11z0"/>
    <w:rsid w:val="002A27BC"/>
    <w:rPr>
      <w:rFonts w:ascii="Symbol" w:hAnsi="Symbol" w:cs="Symbol" w:hint="default"/>
    </w:rPr>
  </w:style>
  <w:style w:type="character" w:customStyle="1" w:styleId="WW8Num12z0">
    <w:name w:val="WW8Num12z0"/>
    <w:rsid w:val="002A27BC"/>
    <w:rPr>
      <w:rFonts w:ascii="Symbol" w:hAnsi="Symbol" w:cs="Symbol" w:hint="default"/>
      <w:color w:val="auto"/>
    </w:rPr>
  </w:style>
  <w:style w:type="character" w:customStyle="1" w:styleId="WW8Num12z1">
    <w:name w:val="WW8Num12z1"/>
    <w:rsid w:val="002A27BC"/>
    <w:rPr>
      <w:rFonts w:ascii="Courier New" w:hAnsi="Courier New" w:cs="Courier New" w:hint="default"/>
    </w:rPr>
  </w:style>
  <w:style w:type="character" w:customStyle="1" w:styleId="WW8Num12z2">
    <w:name w:val="WW8Num12z2"/>
    <w:rsid w:val="002A27BC"/>
    <w:rPr>
      <w:rFonts w:ascii="Wingdings" w:hAnsi="Wingdings" w:cs="Wingdings" w:hint="default"/>
    </w:rPr>
  </w:style>
  <w:style w:type="character" w:customStyle="1" w:styleId="WW8Num13z0">
    <w:name w:val="WW8Num13z0"/>
    <w:rsid w:val="002A27BC"/>
    <w:rPr>
      <w:rFonts w:ascii="Symbol" w:hAnsi="Symbol" w:cs="Symbol" w:hint="default"/>
    </w:rPr>
  </w:style>
  <w:style w:type="character" w:customStyle="1" w:styleId="WW8Num13z1">
    <w:name w:val="WW8Num13z1"/>
    <w:rsid w:val="002A27BC"/>
    <w:rPr>
      <w:rFonts w:ascii="Courier New" w:hAnsi="Courier New" w:cs="Courier New" w:hint="default"/>
    </w:rPr>
  </w:style>
  <w:style w:type="character" w:customStyle="1" w:styleId="WW8Num13z2">
    <w:name w:val="WW8Num13z2"/>
    <w:rsid w:val="002A27BC"/>
    <w:rPr>
      <w:rFonts w:ascii="Wingdings" w:hAnsi="Wingdings" w:cs="Wingdings" w:hint="default"/>
    </w:rPr>
  </w:style>
  <w:style w:type="character" w:customStyle="1" w:styleId="WW8Num14z0">
    <w:name w:val="WW8Num14z0"/>
    <w:rsid w:val="002A27BC"/>
    <w:rPr>
      <w:rFonts w:ascii="Symbol" w:hAnsi="Symbol" w:cs="Symbol" w:hint="default"/>
    </w:rPr>
  </w:style>
  <w:style w:type="character" w:customStyle="1" w:styleId="WW8Num14z1">
    <w:name w:val="WW8Num14z1"/>
    <w:rsid w:val="002A27BC"/>
    <w:rPr>
      <w:rFonts w:ascii="Wingdings 2" w:hAnsi="Wingdings 2" w:cs="Wingdings 2" w:hint="default"/>
      <w:sz w:val="18"/>
      <w:szCs w:val="18"/>
    </w:rPr>
  </w:style>
  <w:style w:type="character" w:customStyle="1" w:styleId="WW8Num14z2">
    <w:name w:val="WW8Num14z2"/>
    <w:rsid w:val="002A27BC"/>
    <w:rPr>
      <w:rFonts w:ascii="StarSymbol" w:eastAsia="StarSymbol" w:cs="StarSymbol" w:hint="eastAsia"/>
      <w:sz w:val="18"/>
      <w:szCs w:val="18"/>
    </w:rPr>
  </w:style>
  <w:style w:type="character" w:customStyle="1" w:styleId="WW8Num16z0">
    <w:name w:val="WW8Num16z0"/>
    <w:rsid w:val="002A27BC"/>
    <w:rPr>
      <w:rFonts w:ascii="Symbol" w:hAnsi="Symbol" w:cs="Symbol" w:hint="default"/>
    </w:rPr>
  </w:style>
  <w:style w:type="character" w:customStyle="1" w:styleId="WW8Num16z1">
    <w:name w:val="WW8Num16z1"/>
    <w:rsid w:val="002A27BC"/>
    <w:rPr>
      <w:rFonts w:ascii="Courier New" w:hAnsi="Courier New" w:cs="Courier New" w:hint="default"/>
    </w:rPr>
  </w:style>
  <w:style w:type="character" w:customStyle="1" w:styleId="WW8Num16z2">
    <w:name w:val="WW8Num16z2"/>
    <w:rsid w:val="002A27BC"/>
    <w:rPr>
      <w:rFonts w:ascii="Wingdings" w:hAnsi="Wingdings" w:cs="Wingdings" w:hint="default"/>
    </w:rPr>
  </w:style>
  <w:style w:type="character" w:customStyle="1" w:styleId="Absatz-Standardschriftart">
    <w:name w:val="Absatz-Standardschriftart"/>
    <w:rsid w:val="002A27BC"/>
  </w:style>
  <w:style w:type="character" w:customStyle="1" w:styleId="WW-Absatz-Standardschriftart">
    <w:name w:val="WW-Absatz-Standardschriftart"/>
    <w:rsid w:val="002A27BC"/>
  </w:style>
  <w:style w:type="character" w:customStyle="1" w:styleId="WW8Num9z0">
    <w:name w:val="WW8Num9z0"/>
    <w:rsid w:val="002A27BC"/>
    <w:rPr>
      <w:rFonts w:ascii="Symbol" w:hAnsi="Symbol" w:cs="Symbol" w:hint="default"/>
    </w:rPr>
  </w:style>
  <w:style w:type="character" w:customStyle="1" w:styleId="WW8Num15z0">
    <w:name w:val="WW8Num15z0"/>
    <w:rsid w:val="002A27BC"/>
    <w:rPr>
      <w:rFonts w:ascii="Symbol" w:hAnsi="Symbol" w:cs="Symbol" w:hint="default"/>
    </w:rPr>
  </w:style>
  <w:style w:type="character" w:customStyle="1" w:styleId="WW8Num15z1">
    <w:name w:val="WW8Num15z1"/>
    <w:rsid w:val="002A27BC"/>
    <w:rPr>
      <w:rFonts w:ascii="Courier New" w:hAnsi="Courier New" w:cs="Courier New" w:hint="default"/>
    </w:rPr>
  </w:style>
  <w:style w:type="character" w:customStyle="1" w:styleId="WW8Num15z2">
    <w:name w:val="WW8Num15z2"/>
    <w:rsid w:val="002A27BC"/>
    <w:rPr>
      <w:rFonts w:ascii="Wingdings" w:hAnsi="Wingdings" w:cs="Wingdings" w:hint="default"/>
    </w:rPr>
  </w:style>
  <w:style w:type="character" w:customStyle="1" w:styleId="WW-Absatz-Standardschriftart1">
    <w:name w:val="WW-Absatz-Standardschriftart1"/>
    <w:rsid w:val="002A27BC"/>
  </w:style>
  <w:style w:type="character" w:customStyle="1" w:styleId="WW-Absatz-Standardschriftart11">
    <w:name w:val="WW-Absatz-Standardschriftart11"/>
    <w:rsid w:val="002A27BC"/>
  </w:style>
  <w:style w:type="character" w:customStyle="1" w:styleId="WW-Absatz-Standardschriftart111">
    <w:name w:val="WW-Absatz-Standardschriftart111"/>
    <w:rsid w:val="002A27BC"/>
  </w:style>
  <w:style w:type="character" w:customStyle="1" w:styleId="WW-Absatz-Standardschriftart1111">
    <w:name w:val="WW-Absatz-Standardschriftart1111"/>
    <w:rsid w:val="002A27BC"/>
  </w:style>
  <w:style w:type="character" w:customStyle="1" w:styleId="WW-Absatz-Standardschriftart11111">
    <w:name w:val="WW-Absatz-Standardschriftart11111"/>
    <w:rsid w:val="002A27BC"/>
  </w:style>
  <w:style w:type="character" w:customStyle="1" w:styleId="WW-Absatz-Standardschriftart111111">
    <w:name w:val="WW-Absatz-Standardschriftart111111"/>
    <w:rsid w:val="002A27BC"/>
  </w:style>
  <w:style w:type="character" w:customStyle="1" w:styleId="WW8Num1z0">
    <w:name w:val="WW8Num1z0"/>
    <w:rsid w:val="002A27BC"/>
    <w:rPr>
      <w:rFonts w:ascii="Symbol" w:hAnsi="Symbol" w:cs="Symbol" w:hint="default"/>
    </w:rPr>
  </w:style>
  <w:style w:type="character" w:customStyle="1" w:styleId="WW8Num1z1">
    <w:name w:val="WW8Num1z1"/>
    <w:rsid w:val="002A27BC"/>
    <w:rPr>
      <w:rFonts w:ascii="Courier New" w:hAnsi="Courier New" w:cs="Courier New" w:hint="default"/>
    </w:rPr>
  </w:style>
  <w:style w:type="character" w:customStyle="1" w:styleId="WW8Num1z2">
    <w:name w:val="WW8Num1z2"/>
    <w:rsid w:val="002A27BC"/>
    <w:rPr>
      <w:rFonts w:ascii="Wingdings" w:hAnsi="Wingdings" w:cs="Wingdings" w:hint="default"/>
    </w:rPr>
  </w:style>
  <w:style w:type="character" w:customStyle="1" w:styleId="WW8Num6z1">
    <w:name w:val="WW8Num6z1"/>
    <w:rsid w:val="002A27BC"/>
    <w:rPr>
      <w:rFonts w:ascii="Courier New" w:hAnsi="Courier New" w:cs="Courier New" w:hint="default"/>
    </w:rPr>
  </w:style>
  <w:style w:type="character" w:customStyle="1" w:styleId="WW8Num6z2">
    <w:name w:val="WW8Num6z2"/>
    <w:rsid w:val="002A27BC"/>
    <w:rPr>
      <w:rFonts w:ascii="Wingdings" w:hAnsi="Wingdings" w:cs="Wingdings" w:hint="default"/>
    </w:rPr>
  </w:style>
  <w:style w:type="character" w:customStyle="1" w:styleId="WW8Num7z1">
    <w:name w:val="WW8Num7z1"/>
    <w:rsid w:val="002A27BC"/>
    <w:rPr>
      <w:rFonts w:ascii="Courier New" w:hAnsi="Courier New" w:cs="Courier New" w:hint="default"/>
    </w:rPr>
  </w:style>
  <w:style w:type="character" w:customStyle="1" w:styleId="WW8Num7z2">
    <w:name w:val="WW8Num7z2"/>
    <w:rsid w:val="002A27BC"/>
    <w:rPr>
      <w:rFonts w:ascii="Wingdings" w:hAnsi="Wingdings" w:cs="Wingdings" w:hint="default"/>
    </w:rPr>
  </w:style>
  <w:style w:type="character" w:customStyle="1" w:styleId="WW8Num8z1">
    <w:name w:val="WW8Num8z1"/>
    <w:rsid w:val="002A27BC"/>
    <w:rPr>
      <w:rFonts w:ascii="Courier New" w:hAnsi="Courier New" w:cs="Courier New" w:hint="default"/>
    </w:rPr>
  </w:style>
  <w:style w:type="character" w:customStyle="1" w:styleId="WW8Num8z2">
    <w:name w:val="WW8Num8z2"/>
    <w:rsid w:val="002A27BC"/>
    <w:rPr>
      <w:rFonts w:ascii="Wingdings" w:hAnsi="Wingdings" w:cs="Wingdings" w:hint="default"/>
    </w:rPr>
  </w:style>
  <w:style w:type="character" w:customStyle="1" w:styleId="WW8Num9z1">
    <w:name w:val="WW8Num9z1"/>
    <w:rsid w:val="002A27BC"/>
    <w:rPr>
      <w:rFonts w:ascii="Courier New" w:hAnsi="Courier New" w:cs="Courier New" w:hint="default"/>
    </w:rPr>
  </w:style>
  <w:style w:type="character" w:customStyle="1" w:styleId="WW8Num9z2">
    <w:name w:val="WW8Num9z2"/>
    <w:rsid w:val="002A27BC"/>
    <w:rPr>
      <w:rFonts w:ascii="Wingdings" w:hAnsi="Wingdings" w:cs="Wingdings" w:hint="default"/>
    </w:rPr>
  </w:style>
  <w:style w:type="character" w:customStyle="1" w:styleId="WW8Num10z1">
    <w:name w:val="WW8Num10z1"/>
    <w:rsid w:val="002A27BC"/>
    <w:rPr>
      <w:rFonts w:ascii="Courier New" w:hAnsi="Courier New" w:cs="Courier New" w:hint="default"/>
    </w:rPr>
  </w:style>
  <w:style w:type="character" w:customStyle="1" w:styleId="WW8Num10z2">
    <w:name w:val="WW8Num10z2"/>
    <w:rsid w:val="002A27BC"/>
    <w:rPr>
      <w:rFonts w:ascii="Wingdings" w:hAnsi="Wingdings" w:cs="Wingdings" w:hint="default"/>
    </w:rPr>
  </w:style>
  <w:style w:type="character" w:customStyle="1" w:styleId="WW8Num12z3">
    <w:name w:val="WW8Num12z3"/>
    <w:rsid w:val="002A27BC"/>
    <w:rPr>
      <w:rFonts w:ascii="Symbol" w:hAnsi="Symbol" w:cs="Symbol" w:hint="default"/>
    </w:rPr>
  </w:style>
  <w:style w:type="character" w:customStyle="1" w:styleId="WW8Num17z0">
    <w:name w:val="WW8Num17z0"/>
    <w:rsid w:val="002A27BC"/>
    <w:rPr>
      <w:rFonts w:ascii="Symbol" w:hAnsi="Symbol" w:cs="Symbol" w:hint="default"/>
    </w:rPr>
  </w:style>
  <w:style w:type="character" w:customStyle="1" w:styleId="WW8Num17z1">
    <w:name w:val="WW8Num17z1"/>
    <w:rsid w:val="002A27BC"/>
    <w:rPr>
      <w:rFonts w:ascii="Courier New" w:hAnsi="Courier New" w:cs="Courier New" w:hint="default"/>
    </w:rPr>
  </w:style>
  <w:style w:type="character" w:customStyle="1" w:styleId="WW8Num17z2">
    <w:name w:val="WW8Num17z2"/>
    <w:rsid w:val="002A27BC"/>
    <w:rPr>
      <w:rFonts w:ascii="Wingdings" w:hAnsi="Wingdings" w:cs="Wingdings" w:hint="default"/>
    </w:rPr>
  </w:style>
  <w:style w:type="character" w:customStyle="1" w:styleId="19">
    <w:name w:val="Основной шрифт абзаца1"/>
    <w:rsid w:val="002A27BC"/>
  </w:style>
  <w:style w:type="character" w:customStyle="1" w:styleId="aff0">
    <w:name w:val="Символ нумерации"/>
    <w:rsid w:val="002A27BC"/>
  </w:style>
  <w:style w:type="character" w:customStyle="1" w:styleId="aff1">
    <w:name w:val="Маркеры списка"/>
    <w:rsid w:val="002A27BC"/>
    <w:rPr>
      <w:rFonts w:ascii="StarSymbol" w:eastAsia="StarSymbol" w:hAnsi="StarSymbol" w:cs="StarSymbol" w:hint="eastAsia"/>
      <w:sz w:val="18"/>
      <w:szCs w:val="18"/>
    </w:rPr>
  </w:style>
  <w:style w:type="character" w:customStyle="1" w:styleId="01">
    <w:name w:val="А. Основной текст 0 Знак"/>
    <w:aliases w:val="95 ПК Знак,Основной текст 0 Знак,1 Основной текст 0 Знак,А. Основной текст 0 Знак Знак Знак Знак Знак,А. Основной текст 0 Знак Знак Знак"/>
    <w:rsid w:val="002A27BC"/>
    <w:rPr>
      <w:rFonts w:ascii="Calibri" w:eastAsia="Calibri" w:hAnsi="Calibri" w:cs="Calibri" w:hint="default"/>
      <w:color w:val="000000"/>
      <w:kern w:val="24"/>
      <w:sz w:val="24"/>
      <w:szCs w:val="24"/>
      <w:lang w:val="ru-RU" w:eastAsia="en-US" w:bidi="ar-SA"/>
    </w:rPr>
  </w:style>
  <w:style w:type="character" w:customStyle="1" w:styleId="81">
    <w:name w:val="Знак Знак8"/>
    <w:rsid w:val="002A27BC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WW8Num40z3">
    <w:name w:val="WW8Num40z3"/>
    <w:rsid w:val="002A27BC"/>
    <w:rPr>
      <w:rFonts w:ascii="Symbol" w:hAnsi="Symbol" w:hint="default"/>
    </w:rPr>
  </w:style>
  <w:style w:type="character" w:customStyle="1" w:styleId="aff2">
    <w:name w:val="Основной тек... Знак"/>
    <w:rsid w:val="002A27BC"/>
    <w:rPr>
      <w:rFonts w:ascii="Calibri" w:eastAsia="Calibri" w:hAnsi="Calibri" w:cs="Calibri" w:hint="default"/>
      <w:color w:val="000000"/>
      <w:kern w:val="24"/>
      <w:sz w:val="24"/>
      <w:szCs w:val="24"/>
      <w:lang w:val="ru-RU" w:eastAsia="en-US" w:bidi="ar-SA"/>
    </w:rPr>
  </w:style>
  <w:style w:type="character" w:customStyle="1" w:styleId="91">
    <w:name w:val="Знак Знак9"/>
    <w:rsid w:val="002A27BC"/>
    <w:rPr>
      <w:rFonts w:ascii="Times New Roman" w:eastAsia="Lucida Sans Unicode" w:hAnsi="Times New Roman" w:cs="Times New Roman" w:hint="default"/>
      <w:kern w:val="2"/>
      <w:sz w:val="24"/>
      <w:szCs w:val="24"/>
    </w:rPr>
  </w:style>
  <w:style w:type="paragraph" w:styleId="92">
    <w:name w:val="toc 9"/>
    <w:basedOn w:val="15"/>
    <w:autoRedefine/>
    <w:uiPriority w:val="39"/>
    <w:semiHidden/>
    <w:unhideWhenUsed/>
    <w:rsid w:val="002A27BC"/>
    <w:pPr>
      <w:tabs>
        <w:tab w:val="right" w:leader="dot" w:pos="9637"/>
      </w:tabs>
      <w:ind w:left="2264"/>
    </w:pPr>
  </w:style>
  <w:style w:type="paragraph" w:styleId="82">
    <w:name w:val="toc 8"/>
    <w:basedOn w:val="15"/>
    <w:autoRedefine/>
    <w:uiPriority w:val="39"/>
    <w:semiHidden/>
    <w:unhideWhenUsed/>
    <w:rsid w:val="002A27BC"/>
    <w:pPr>
      <w:tabs>
        <w:tab w:val="right" w:leader="dot" w:pos="9637"/>
      </w:tabs>
      <w:ind w:left="1981"/>
    </w:pPr>
  </w:style>
  <w:style w:type="paragraph" w:styleId="71">
    <w:name w:val="toc 7"/>
    <w:basedOn w:val="15"/>
    <w:autoRedefine/>
    <w:uiPriority w:val="39"/>
    <w:semiHidden/>
    <w:unhideWhenUsed/>
    <w:rsid w:val="002A27BC"/>
    <w:pPr>
      <w:tabs>
        <w:tab w:val="right" w:leader="dot" w:pos="9637"/>
      </w:tabs>
      <w:ind w:left="1698"/>
    </w:pPr>
  </w:style>
  <w:style w:type="paragraph" w:styleId="61">
    <w:name w:val="toc 6"/>
    <w:basedOn w:val="15"/>
    <w:autoRedefine/>
    <w:uiPriority w:val="39"/>
    <w:semiHidden/>
    <w:unhideWhenUsed/>
    <w:rsid w:val="002A27BC"/>
    <w:pPr>
      <w:tabs>
        <w:tab w:val="right" w:leader="dot" w:pos="9637"/>
      </w:tabs>
      <w:ind w:left="1415"/>
    </w:pPr>
  </w:style>
  <w:style w:type="paragraph" w:styleId="51">
    <w:name w:val="toc 5"/>
    <w:basedOn w:val="15"/>
    <w:autoRedefine/>
    <w:uiPriority w:val="39"/>
    <w:semiHidden/>
    <w:unhideWhenUsed/>
    <w:rsid w:val="002A27BC"/>
    <w:pPr>
      <w:tabs>
        <w:tab w:val="right" w:leader="dot" w:pos="9637"/>
      </w:tabs>
      <w:ind w:left="1132"/>
    </w:pPr>
  </w:style>
  <w:style w:type="numbering" w:styleId="a">
    <w:name w:val="Outline List 3"/>
    <w:basedOn w:val="a3"/>
    <w:uiPriority w:val="99"/>
    <w:semiHidden/>
    <w:unhideWhenUsed/>
    <w:rsid w:val="002A27BC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6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7966</Words>
  <Characters>45408</Characters>
  <Application>Microsoft Office Word</Application>
  <DocSecurity>0</DocSecurity>
  <Lines>378</Lines>
  <Paragraphs>106</Paragraphs>
  <ScaleCrop>false</ScaleCrop>
  <Company/>
  <LinksUpToDate>false</LinksUpToDate>
  <CharactersWithSpaces>53268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2019-04-19T10:38:00Z</dcterms:created>
  <dcterms:modified xsi:type="dcterms:W3CDTF">2019-04-19T10:39:00Z</dcterms:modified>
</cp:coreProperties>
</file>