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2" w:rsidRPr="00076624" w:rsidRDefault="009F66CD" w:rsidP="00B67BB2">
      <w:pPr>
        <w:spacing w:after="0"/>
        <w:ind w:firstLine="70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Прогноз </w:t>
      </w:r>
      <w:r w:rsidR="00B67BB2" w:rsidRPr="00076624">
        <w:rPr>
          <w:rFonts w:ascii="Times New Roman" w:hAnsi="Times New Roman"/>
          <w:b/>
          <w:bCs/>
          <w:color w:val="002060"/>
          <w:sz w:val="28"/>
          <w:szCs w:val="28"/>
        </w:rPr>
        <w:t xml:space="preserve"> социально-экономического развития Богучарского муниципального района на 20</w:t>
      </w:r>
      <w:r w:rsidR="00FA3F58">
        <w:rPr>
          <w:rFonts w:ascii="Times New Roman" w:hAnsi="Times New Roman"/>
          <w:b/>
          <w:bCs/>
          <w:color w:val="002060"/>
          <w:sz w:val="28"/>
          <w:szCs w:val="28"/>
        </w:rPr>
        <w:t>20</w:t>
      </w:r>
      <w:r w:rsidR="00B67BB2" w:rsidRPr="00076624">
        <w:rPr>
          <w:rFonts w:ascii="Times New Roman" w:hAnsi="Times New Roman"/>
          <w:b/>
          <w:bCs/>
          <w:color w:val="002060"/>
          <w:sz w:val="28"/>
          <w:szCs w:val="28"/>
        </w:rPr>
        <w:t>-20</w:t>
      </w:r>
      <w:r w:rsidR="00B67BB2">
        <w:rPr>
          <w:rFonts w:ascii="Times New Roman" w:hAnsi="Times New Roman"/>
          <w:b/>
          <w:bCs/>
          <w:color w:val="002060"/>
          <w:sz w:val="28"/>
          <w:szCs w:val="28"/>
        </w:rPr>
        <w:t>2</w:t>
      </w:r>
      <w:r w:rsidR="00FA3F58">
        <w:rPr>
          <w:rFonts w:ascii="Times New Roman" w:hAnsi="Times New Roman"/>
          <w:b/>
          <w:bCs/>
          <w:color w:val="002060"/>
          <w:sz w:val="28"/>
          <w:szCs w:val="28"/>
        </w:rPr>
        <w:t>2</w:t>
      </w:r>
      <w:r w:rsidR="00B67BB2" w:rsidRPr="00076624">
        <w:rPr>
          <w:rFonts w:ascii="Times New Roman" w:hAnsi="Times New Roman"/>
          <w:b/>
          <w:bCs/>
          <w:color w:val="002060"/>
          <w:sz w:val="28"/>
          <w:szCs w:val="28"/>
        </w:rPr>
        <w:t xml:space="preserve"> годы  </w:t>
      </w:r>
    </w:p>
    <w:p w:rsidR="00AC0D84" w:rsidRDefault="00AC0D84" w:rsidP="00AC0D84">
      <w:pPr>
        <w:pStyle w:val="a5"/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059B2">
        <w:rPr>
          <w:rFonts w:ascii="Times New Roman" w:hAnsi="Times New Roman"/>
          <w:b/>
          <w:color w:val="C00000"/>
          <w:sz w:val="26"/>
          <w:szCs w:val="26"/>
        </w:rPr>
        <w:t>Малое предпринимательство</w:t>
      </w:r>
    </w:p>
    <w:p w:rsidR="00521546" w:rsidRPr="004059B2" w:rsidRDefault="00521546" w:rsidP="00AC0D84">
      <w:pPr>
        <w:pStyle w:val="a5"/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C56E1F" w:rsidRPr="00C56E1F" w:rsidRDefault="00C56E1F" w:rsidP="00521546">
      <w:pPr>
        <w:pStyle w:val="a3"/>
        <w:spacing w:line="276" w:lineRule="auto"/>
        <w:ind w:left="0" w:right="-1" w:firstLine="567"/>
        <w:jc w:val="both"/>
        <w:rPr>
          <w:b/>
          <w:sz w:val="26"/>
          <w:szCs w:val="26"/>
        </w:rPr>
      </w:pPr>
      <w:r w:rsidRPr="00C56E1F">
        <w:rPr>
          <w:b/>
          <w:sz w:val="26"/>
          <w:szCs w:val="26"/>
        </w:rPr>
        <w:t>Малое предпринимательство – важный сектор экономики Богучарского муниципального района, его развитие является одним из стратегических направлений развития района.</w:t>
      </w:r>
    </w:p>
    <w:p w:rsidR="00C56E1F" w:rsidRPr="00C56E1F" w:rsidRDefault="00C56E1F" w:rsidP="00521546">
      <w:pPr>
        <w:pStyle w:val="a3"/>
        <w:spacing w:line="276" w:lineRule="auto"/>
        <w:ind w:left="0" w:right="-1" w:firstLine="567"/>
        <w:jc w:val="both"/>
        <w:rPr>
          <w:rFonts w:eastAsia="Calibri"/>
          <w:sz w:val="26"/>
          <w:szCs w:val="26"/>
        </w:rPr>
      </w:pPr>
      <w:r w:rsidRPr="00C56E1F">
        <w:rPr>
          <w:rFonts w:eastAsia="Calibri"/>
          <w:bCs/>
          <w:sz w:val="26"/>
          <w:szCs w:val="26"/>
        </w:rPr>
        <w:t>По состоянию на 1 января 2019 года в районе осуществляют предпринимательскую деятельность 1272 субъект</w:t>
      </w:r>
      <w:r w:rsidR="005B138D">
        <w:rPr>
          <w:rFonts w:eastAsia="Calibri"/>
          <w:bCs/>
          <w:sz w:val="26"/>
          <w:szCs w:val="26"/>
        </w:rPr>
        <w:t>а</w:t>
      </w:r>
      <w:r w:rsidRPr="00C56E1F">
        <w:rPr>
          <w:rFonts w:eastAsia="Calibri"/>
          <w:bCs/>
          <w:sz w:val="26"/>
          <w:szCs w:val="26"/>
        </w:rPr>
        <w:t xml:space="preserve"> малого и среднего предпринимательства: 1107 индивидуальных предпринимателей (2017г. – 1055), 7  средних предприятий и 158 малых предприятий (2017г. - 156 МП и 7 СП). </w:t>
      </w:r>
      <w:r w:rsidRPr="00C56E1F">
        <w:rPr>
          <w:rFonts w:eastAsia="Calibri"/>
          <w:sz w:val="26"/>
          <w:szCs w:val="26"/>
        </w:rPr>
        <w:t xml:space="preserve">На 10000 человек населения приходится 349,29 субъектов МСП  (2017 год – 328,68). Прирост СМП за 2018 год составил 54 единицы. </w:t>
      </w:r>
    </w:p>
    <w:p w:rsidR="00C56E1F" w:rsidRPr="00C56E1F" w:rsidRDefault="00C56E1F" w:rsidP="00521546">
      <w:pPr>
        <w:keepNext/>
        <w:tabs>
          <w:tab w:val="left" w:pos="6946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C56E1F">
        <w:rPr>
          <w:rFonts w:ascii="Times New Roman" w:hAnsi="Times New Roman"/>
          <w:sz w:val="26"/>
          <w:szCs w:val="26"/>
        </w:rPr>
        <w:t xml:space="preserve">Среднесписочная численность работников малых и средних предприятий составила на 1 января 2019 года – 4185 чел., или 39,6% в общей численности работников.   </w:t>
      </w:r>
    </w:p>
    <w:p w:rsidR="00C56E1F" w:rsidRPr="00C56E1F" w:rsidRDefault="00C56E1F" w:rsidP="00521546">
      <w:pPr>
        <w:pStyle w:val="ConsPlusNonformat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E1F">
        <w:rPr>
          <w:rFonts w:ascii="Times New Roman" w:hAnsi="Times New Roman" w:cs="Times New Roman"/>
          <w:sz w:val="26"/>
          <w:szCs w:val="26"/>
        </w:rPr>
        <w:t>Сфера деятельности в области оказания услуг населению района и осуществления розничной торговли остаётся наиболее привлекательной для субъектов малого и среднего предпринимательства.</w:t>
      </w:r>
    </w:p>
    <w:p w:rsidR="00C56E1F" w:rsidRDefault="00C56E1F" w:rsidP="00521546">
      <w:pPr>
        <w:pStyle w:val="ConsPlusNonformat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E1F">
        <w:rPr>
          <w:rFonts w:ascii="Times New Roman" w:hAnsi="Times New Roman" w:cs="Times New Roman"/>
          <w:sz w:val="26"/>
          <w:szCs w:val="26"/>
        </w:rPr>
        <w:t>Распределение субъектов МСП по видам экономической деятельности представлено на диаграмме</w:t>
      </w:r>
      <w:r w:rsidR="005B138D">
        <w:rPr>
          <w:rFonts w:ascii="Times New Roman" w:hAnsi="Times New Roman" w:cs="Times New Roman"/>
          <w:sz w:val="26"/>
          <w:szCs w:val="26"/>
        </w:rPr>
        <w:t xml:space="preserve"> 1</w:t>
      </w:r>
      <w:r w:rsidRPr="00C56E1F">
        <w:rPr>
          <w:rFonts w:ascii="Times New Roman" w:hAnsi="Times New Roman" w:cs="Times New Roman"/>
          <w:sz w:val="26"/>
          <w:szCs w:val="26"/>
        </w:rPr>
        <w:t>.</w:t>
      </w:r>
    </w:p>
    <w:p w:rsidR="005B138D" w:rsidRPr="00C56E1F" w:rsidRDefault="005B138D" w:rsidP="00C56E1F">
      <w:pPr>
        <w:pStyle w:val="ConsPlusNonformat"/>
        <w:widowControl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6E1F" w:rsidRDefault="00C56E1F" w:rsidP="00C56E1F">
      <w:pPr>
        <w:pStyle w:val="ConsPlusNonformat"/>
        <w:widowControl/>
        <w:spacing w:line="276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16"/>
          <w:szCs w:val="16"/>
        </w:rPr>
        <w:t>Диаграмма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</w:p>
    <w:p w:rsidR="00C56E1F" w:rsidRPr="00403831" w:rsidRDefault="005B138D" w:rsidP="00FA3F58">
      <w:pPr>
        <w:pStyle w:val="ConsPlusNonformat"/>
        <w:widowControl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4429" cy="4285753"/>
            <wp:effectExtent l="19050" t="0" r="0" b="0"/>
            <wp:docPr id="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3F58" w:rsidRPr="00403831" w:rsidRDefault="00FA3F58" w:rsidP="00FA3F58">
      <w:pPr>
        <w:pStyle w:val="ConsPlusNonformat"/>
        <w:widowControl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F58" w:rsidRPr="00403831" w:rsidRDefault="00FA3F58" w:rsidP="00FA3F5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58" w:rsidRPr="005B138D" w:rsidRDefault="00FA3F58" w:rsidP="00FA3F58">
      <w:pPr>
        <w:keepNext/>
        <w:tabs>
          <w:tab w:val="left" w:pos="6946"/>
        </w:tabs>
        <w:spacing w:before="24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B138D">
        <w:rPr>
          <w:rFonts w:ascii="Times New Roman" w:hAnsi="Times New Roman"/>
          <w:sz w:val="26"/>
          <w:szCs w:val="26"/>
        </w:rPr>
        <w:t xml:space="preserve">В 2018 году   оборот   малых и средних предприятий составил </w:t>
      </w:r>
      <w:r w:rsidR="005B138D">
        <w:rPr>
          <w:rFonts w:ascii="Times New Roman" w:hAnsi="Times New Roman"/>
          <w:sz w:val="26"/>
          <w:szCs w:val="26"/>
        </w:rPr>
        <w:t xml:space="preserve">                    </w:t>
      </w:r>
      <w:r w:rsidR="00521546">
        <w:rPr>
          <w:rFonts w:ascii="Times New Roman" w:hAnsi="Times New Roman"/>
          <w:sz w:val="26"/>
          <w:szCs w:val="26"/>
        </w:rPr>
        <w:t>5355</w:t>
      </w:r>
      <w:r w:rsidRPr="005B138D">
        <w:rPr>
          <w:rFonts w:ascii="Times New Roman" w:hAnsi="Times New Roman"/>
          <w:sz w:val="26"/>
          <w:szCs w:val="26"/>
        </w:rPr>
        <w:t xml:space="preserve"> млн руб.  (111% к уровню 201</w:t>
      </w:r>
      <w:r w:rsidR="00521546">
        <w:rPr>
          <w:rFonts w:ascii="Times New Roman" w:hAnsi="Times New Roman"/>
          <w:sz w:val="26"/>
          <w:szCs w:val="26"/>
        </w:rPr>
        <w:t>8</w:t>
      </w:r>
      <w:r w:rsidRPr="005B138D">
        <w:rPr>
          <w:rFonts w:ascii="Times New Roman" w:hAnsi="Times New Roman"/>
          <w:sz w:val="26"/>
          <w:szCs w:val="26"/>
        </w:rPr>
        <w:t xml:space="preserve"> года в сопоставимых ценах). </w:t>
      </w:r>
    </w:p>
    <w:p w:rsidR="00FA3F58" w:rsidRPr="005B138D" w:rsidRDefault="00FA3F58" w:rsidP="00FA3F5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B138D">
        <w:rPr>
          <w:rFonts w:ascii="Times New Roman" w:hAnsi="Times New Roman"/>
          <w:sz w:val="26"/>
          <w:szCs w:val="26"/>
        </w:rPr>
        <w:t xml:space="preserve">В </w:t>
      </w:r>
      <w:r w:rsidR="005B138D">
        <w:rPr>
          <w:rFonts w:ascii="Times New Roman" w:hAnsi="Times New Roman"/>
          <w:sz w:val="26"/>
          <w:szCs w:val="26"/>
        </w:rPr>
        <w:t xml:space="preserve">Богучарском </w:t>
      </w:r>
      <w:proofErr w:type="gramStart"/>
      <w:r w:rsidRPr="005B138D">
        <w:rPr>
          <w:rFonts w:ascii="Times New Roman" w:hAnsi="Times New Roman"/>
          <w:sz w:val="26"/>
          <w:szCs w:val="26"/>
        </w:rPr>
        <w:t>районе</w:t>
      </w:r>
      <w:proofErr w:type="gramEnd"/>
      <w:r w:rsidRPr="005B138D">
        <w:rPr>
          <w:rFonts w:ascii="Times New Roman" w:hAnsi="Times New Roman"/>
          <w:sz w:val="26"/>
          <w:szCs w:val="26"/>
        </w:rPr>
        <w:t xml:space="preserve"> сформирована система поддержки бизнеса, представляющая собой комплекс правовых, организационных и финансовых механизмов: АНО «Богучарский центр поддержки предпринимательства» и микрофинансовая организация «Фонд поддержки предпринимательства». </w:t>
      </w:r>
    </w:p>
    <w:p w:rsidR="00FA3F58" w:rsidRPr="005B138D" w:rsidRDefault="00FA3F58" w:rsidP="00FA3F5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B138D">
        <w:rPr>
          <w:rFonts w:ascii="Times New Roman" w:hAnsi="Times New Roman"/>
          <w:sz w:val="26"/>
          <w:szCs w:val="26"/>
        </w:rPr>
        <w:t xml:space="preserve">Для реализации мер финансовой поддержки малого и среднего предпринимательства на территории района  действует подпрограмма «Развитие и поддержка малого и среднего предпринимательства»  муниципальной программы «Экономическое развитие Богучарского муниципального района».      </w:t>
      </w:r>
    </w:p>
    <w:p w:rsidR="00FA3F58" w:rsidRPr="005B138D" w:rsidRDefault="00FA3F58" w:rsidP="00FA3F58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B138D">
        <w:rPr>
          <w:rFonts w:ascii="Times New Roman" w:hAnsi="Times New Roman"/>
          <w:sz w:val="26"/>
          <w:szCs w:val="26"/>
        </w:rPr>
        <w:t xml:space="preserve">В 2018 году </w:t>
      </w:r>
      <w:r w:rsidRPr="005B138D">
        <w:rPr>
          <w:rFonts w:ascii="Times New Roman" w:hAnsi="Times New Roman"/>
          <w:bCs/>
          <w:sz w:val="26"/>
          <w:szCs w:val="26"/>
        </w:rPr>
        <w:t xml:space="preserve"> на реализацию мероприятий подпрограммы   направлено </w:t>
      </w:r>
      <w:r w:rsidR="00521546">
        <w:rPr>
          <w:rFonts w:ascii="Times New Roman" w:hAnsi="Times New Roman"/>
          <w:bCs/>
          <w:sz w:val="26"/>
          <w:szCs w:val="26"/>
        </w:rPr>
        <w:t xml:space="preserve">         </w:t>
      </w:r>
      <w:r w:rsidRPr="005B138D">
        <w:rPr>
          <w:rFonts w:ascii="Times New Roman" w:hAnsi="Times New Roman"/>
          <w:bCs/>
          <w:sz w:val="26"/>
          <w:szCs w:val="26"/>
        </w:rPr>
        <w:t xml:space="preserve">41,9  млн руб. (2017 год – 33,6 млн руб.), что составило  125% к уровню 2017 года.   </w:t>
      </w:r>
    </w:p>
    <w:p w:rsidR="00FA3F58" w:rsidRPr="005B138D" w:rsidRDefault="00FA3F58" w:rsidP="00FA3F58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B138D">
        <w:rPr>
          <w:rFonts w:ascii="Times New Roman" w:hAnsi="Times New Roman"/>
          <w:bCs/>
          <w:sz w:val="26"/>
          <w:szCs w:val="26"/>
        </w:rPr>
        <w:t>Из бюджета Богучарского муниципального района в 2018 году выделено 3579,8 тыс</w:t>
      </w:r>
      <w:proofErr w:type="gramStart"/>
      <w:r w:rsidRPr="005B138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5B138D">
        <w:rPr>
          <w:rFonts w:ascii="Times New Roman" w:hAnsi="Times New Roman"/>
          <w:bCs/>
          <w:sz w:val="26"/>
          <w:szCs w:val="26"/>
        </w:rPr>
        <w:t>уб. на оказание поддержки субъектам малого и среднего предпринимательства.  Субсидии на открытие собственного дела получили                3 индивидуальных предпринимателя (750 тыс</w:t>
      </w:r>
      <w:proofErr w:type="gramStart"/>
      <w:r w:rsidRPr="005B138D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5B138D">
        <w:rPr>
          <w:rFonts w:ascii="Times New Roman" w:hAnsi="Times New Roman"/>
          <w:bCs/>
          <w:sz w:val="26"/>
          <w:szCs w:val="26"/>
        </w:rPr>
        <w:t xml:space="preserve">уб.) и 3 малых предприятия  получили субсидии на возмещение затрат по приобретению оборудования </w:t>
      </w:r>
      <w:r w:rsidR="00521546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5B138D">
        <w:rPr>
          <w:rFonts w:ascii="Times New Roman" w:hAnsi="Times New Roman"/>
          <w:bCs/>
          <w:sz w:val="26"/>
          <w:szCs w:val="26"/>
        </w:rPr>
        <w:t xml:space="preserve">(2829,8 тыс.руб.).                                                                                                                                 </w:t>
      </w:r>
    </w:p>
    <w:p w:rsidR="00FA3F58" w:rsidRPr="005B138D" w:rsidRDefault="00FA3F58" w:rsidP="00FA3F5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B138D">
        <w:rPr>
          <w:rFonts w:ascii="Times New Roman" w:hAnsi="Times New Roman"/>
          <w:sz w:val="26"/>
          <w:szCs w:val="26"/>
        </w:rPr>
        <w:t>МФО «Фонд поддержки предпринимательства»</w:t>
      </w:r>
      <w:r w:rsidRPr="005B138D">
        <w:rPr>
          <w:rFonts w:ascii="Times New Roman" w:hAnsi="Times New Roman"/>
          <w:bCs/>
          <w:sz w:val="26"/>
          <w:szCs w:val="26"/>
        </w:rPr>
        <w:t xml:space="preserve"> выдано 45 займов  субъектам малого и среднего предпринимательства на сумму 28,8 млн руб.  (2017 год – 22,9 млн руб.),  АНО «</w:t>
      </w:r>
      <w:r w:rsidRPr="005B138D">
        <w:rPr>
          <w:rFonts w:ascii="Times New Roman" w:hAnsi="Times New Roman"/>
          <w:sz w:val="26"/>
          <w:szCs w:val="26"/>
        </w:rPr>
        <w:t xml:space="preserve">Богучарский центр поддержки предпринимательства» выдано 7 займов на сумму 9,5 млн руб. (2017 – 10,7 млн руб.). Оказано </w:t>
      </w:r>
      <w:r w:rsidR="0052154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5B138D">
        <w:rPr>
          <w:rFonts w:ascii="Times New Roman" w:hAnsi="Times New Roman"/>
          <w:sz w:val="26"/>
          <w:szCs w:val="26"/>
        </w:rPr>
        <w:t xml:space="preserve">3148  информационных, юридических и прочих услуг субъектам малого и среднего предпринимательства. </w:t>
      </w:r>
    </w:p>
    <w:p w:rsidR="00B46AE7" w:rsidRPr="00B46AE7" w:rsidRDefault="007F5A70" w:rsidP="00B46AE7">
      <w:pPr>
        <w:spacing w:after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46AE7">
        <w:rPr>
          <w:rStyle w:val="a9"/>
          <w:rFonts w:ascii="Times New Roman" w:hAnsi="Times New Roman"/>
          <w:b w:val="0"/>
          <w:sz w:val="28"/>
          <w:szCs w:val="28"/>
        </w:rPr>
        <w:t xml:space="preserve">       </w:t>
      </w:r>
      <w:r w:rsidRPr="00B46AE7">
        <w:rPr>
          <w:rStyle w:val="a9"/>
          <w:rFonts w:ascii="Times New Roman" w:hAnsi="Times New Roman"/>
          <w:b w:val="0"/>
          <w:sz w:val="26"/>
          <w:szCs w:val="26"/>
        </w:rPr>
        <w:t>АНО "Богучарский Центр поддержки предпринимательства"</w:t>
      </w:r>
      <w:r w:rsidR="00B46AE7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B46AE7" w:rsidRPr="00B46AE7">
        <w:rPr>
          <w:rStyle w:val="a9"/>
          <w:rFonts w:ascii="Times New Roman" w:hAnsi="Times New Roman"/>
          <w:b w:val="0"/>
          <w:sz w:val="26"/>
          <w:szCs w:val="26"/>
        </w:rPr>
        <w:t>оказывает следующие услуги: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бесплатное консультирование;</w:t>
      </w:r>
    </w:p>
    <w:p w:rsidR="00B46AE7" w:rsidRPr="00B46AE7" w:rsidRDefault="00B46AE7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юридическое консультирование;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услуги по микрокредитованию;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составление налоговой и бухгалтерской отчетности, в том числе физических лиц;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подготовка документов для регистрации, закрытия деятельности индивидуальных предпринимателей и юридических лиц;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составление бизнес-планов;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оформление деклараций об объемах розничной продажи алкогольной и спиртосодержащей продукции для организаций, осуществляющих розничную продажу алкогольной продукции на территории Воронежской области, их предоставление в соответствующие органы с использованием электронной цифровой подписи (ЭЦП);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услуги в приобретении онлайн-касс;</w:t>
      </w:r>
    </w:p>
    <w:p w:rsidR="007F5A70" w:rsidRPr="00B46AE7" w:rsidRDefault="007F5A70" w:rsidP="00B46AE7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6"/>
          <w:szCs w:val="26"/>
        </w:rPr>
      </w:pPr>
      <w:r w:rsidRPr="00B46AE7">
        <w:rPr>
          <w:sz w:val="26"/>
          <w:szCs w:val="26"/>
        </w:rPr>
        <w:t>подача деклараций для физических лиц 3НДФЛ.</w:t>
      </w:r>
    </w:p>
    <w:p w:rsidR="007F5A70" w:rsidRDefault="005C4E79" w:rsidP="00B46AE7">
      <w:pPr>
        <w:jc w:val="both"/>
        <w:rPr>
          <w:rFonts w:ascii="Times New Roman" w:hAnsi="Times New Roman"/>
          <w:sz w:val="26"/>
          <w:szCs w:val="26"/>
        </w:rPr>
      </w:pPr>
      <w:r w:rsidRPr="00B46AE7">
        <w:rPr>
          <w:rFonts w:ascii="Times New Roman" w:hAnsi="Times New Roman"/>
          <w:sz w:val="26"/>
          <w:szCs w:val="26"/>
        </w:rPr>
        <w:lastRenderedPageBreak/>
        <w:t xml:space="preserve">      В 20</w:t>
      </w:r>
      <w:r w:rsidR="00B46AE7">
        <w:rPr>
          <w:rFonts w:ascii="Times New Roman" w:hAnsi="Times New Roman"/>
          <w:sz w:val="26"/>
          <w:szCs w:val="26"/>
        </w:rPr>
        <w:t>20</w:t>
      </w:r>
      <w:r w:rsidRPr="00B46AE7">
        <w:rPr>
          <w:rFonts w:ascii="Times New Roman" w:hAnsi="Times New Roman"/>
          <w:sz w:val="26"/>
          <w:szCs w:val="26"/>
        </w:rPr>
        <w:t>-202</w:t>
      </w:r>
      <w:r w:rsidR="00B46AE7">
        <w:rPr>
          <w:rFonts w:ascii="Times New Roman" w:hAnsi="Times New Roman"/>
          <w:sz w:val="26"/>
          <w:szCs w:val="26"/>
        </w:rPr>
        <w:t>2</w:t>
      </w:r>
      <w:r w:rsidRPr="00B46AE7">
        <w:rPr>
          <w:rFonts w:ascii="Times New Roman" w:hAnsi="Times New Roman"/>
          <w:sz w:val="26"/>
          <w:szCs w:val="26"/>
        </w:rPr>
        <w:t xml:space="preserve">гг. ожидается рост субъектов МСП  на </w:t>
      </w:r>
      <w:r w:rsidR="00B46AE7">
        <w:rPr>
          <w:rFonts w:ascii="Times New Roman" w:hAnsi="Times New Roman"/>
          <w:sz w:val="26"/>
          <w:szCs w:val="26"/>
        </w:rPr>
        <w:t>16 единиц</w:t>
      </w:r>
      <w:r w:rsidRPr="00B46AE7">
        <w:rPr>
          <w:rFonts w:ascii="Times New Roman" w:hAnsi="Times New Roman"/>
          <w:sz w:val="26"/>
          <w:szCs w:val="26"/>
        </w:rPr>
        <w:t>. Оборот средних предприятий составит в 202</w:t>
      </w:r>
      <w:r w:rsidR="00B46AE7">
        <w:rPr>
          <w:rFonts w:ascii="Times New Roman" w:hAnsi="Times New Roman"/>
          <w:sz w:val="26"/>
          <w:szCs w:val="26"/>
        </w:rPr>
        <w:t>2</w:t>
      </w:r>
      <w:r w:rsidRPr="00B46AE7">
        <w:rPr>
          <w:rFonts w:ascii="Times New Roman" w:hAnsi="Times New Roman"/>
          <w:sz w:val="26"/>
          <w:szCs w:val="26"/>
        </w:rPr>
        <w:t xml:space="preserve"> году</w:t>
      </w:r>
      <w:r w:rsidR="00B46AE7">
        <w:rPr>
          <w:rFonts w:ascii="Times New Roman" w:hAnsi="Times New Roman"/>
          <w:sz w:val="26"/>
          <w:szCs w:val="26"/>
        </w:rPr>
        <w:t xml:space="preserve"> - 2765</w:t>
      </w:r>
      <w:r w:rsidRPr="00B46AE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46AE7">
        <w:rPr>
          <w:rFonts w:ascii="Times New Roman" w:hAnsi="Times New Roman"/>
          <w:sz w:val="26"/>
          <w:szCs w:val="26"/>
        </w:rPr>
        <w:t>.р</w:t>
      </w:r>
      <w:proofErr w:type="gramEnd"/>
      <w:r w:rsidRPr="00B46AE7">
        <w:rPr>
          <w:rFonts w:ascii="Times New Roman" w:hAnsi="Times New Roman"/>
          <w:sz w:val="26"/>
          <w:szCs w:val="26"/>
        </w:rPr>
        <w:t>уб. (1</w:t>
      </w:r>
      <w:r w:rsidR="00B46AE7">
        <w:rPr>
          <w:rFonts w:ascii="Times New Roman" w:hAnsi="Times New Roman"/>
          <w:sz w:val="26"/>
          <w:szCs w:val="26"/>
        </w:rPr>
        <w:t>55</w:t>
      </w:r>
      <w:r w:rsidRPr="00B46AE7">
        <w:rPr>
          <w:rFonts w:ascii="Times New Roman" w:hAnsi="Times New Roman"/>
          <w:sz w:val="26"/>
          <w:szCs w:val="26"/>
        </w:rPr>
        <w:t>% к уровню 201</w:t>
      </w:r>
      <w:r w:rsidR="00B46AE7">
        <w:rPr>
          <w:rFonts w:ascii="Times New Roman" w:hAnsi="Times New Roman"/>
          <w:sz w:val="26"/>
          <w:szCs w:val="26"/>
        </w:rPr>
        <w:t>8</w:t>
      </w:r>
      <w:r w:rsidRPr="00B46AE7">
        <w:rPr>
          <w:rFonts w:ascii="Times New Roman" w:hAnsi="Times New Roman"/>
          <w:sz w:val="26"/>
          <w:szCs w:val="26"/>
        </w:rPr>
        <w:t xml:space="preserve"> года), оборот малых предприятий составит </w:t>
      </w:r>
      <w:r w:rsidR="00B46AE7">
        <w:rPr>
          <w:rFonts w:ascii="Times New Roman" w:hAnsi="Times New Roman"/>
          <w:sz w:val="26"/>
          <w:szCs w:val="26"/>
        </w:rPr>
        <w:t xml:space="preserve">5716 </w:t>
      </w:r>
      <w:r w:rsidRPr="00B46AE7">
        <w:rPr>
          <w:rFonts w:ascii="Times New Roman" w:hAnsi="Times New Roman"/>
          <w:sz w:val="26"/>
          <w:szCs w:val="26"/>
        </w:rPr>
        <w:t>тыс.руб. (1</w:t>
      </w:r>
      <w:r w:rsidR="00B46AE7">
        <w:rPr>
          <w:rFonts w:ascii="Times New Roman" w:hAnsi="Times New Roman"/>
          <w:sz w:val="26"/>
          <w:szCs w:val="26"/>
        </w:rPr>
        <w:t>45</w:t>
      </w:r>
      <w:r w:rsidRPr="00B46AE7">
        <w:rPr>
          <w:rFonts w:ascii="Times New Roman" w:hAnsi="Times New Roman"/>
          <w:sz w:val="26"/>
          <w:szCs w:val="26"/>
        </w:rPr>
        <w:t xml:space="preserve">% к уровню 2017 года).   </w:t>
      </w:r>
    </w:p>
    <w:p w:rsidR="00526A35" w:rsidRPr="009F66CD" w:rsidRDefault="009F66CD" w:rsidP="009F66CD">
      <w:pPr>
        <w:jc w:val="both"/>
        <w:rPr>
          <w:b/>
          <w:sz w:val="26"/>
          <w:szCs w:val="26"/>
        </w:rPr>
      </w:pPr>
      <w:r w:rsidRPr="009F66CD">
        <w:rPr>
          <w:rFonts w:ascii="Times New Roman" w:hAnsi="Times New Roman"/>
          <w:b/>
          <w:sz w:val="26"/>
          <w:szCs w:val="26"/>
        </w:rPr>
        <w:t>Прогноз развития МСП на период до 2022 года</w:t>
      </w:r>
    </w:p>
    <w:tbl>
      <w:tblPr>
        <w:tblpPr w:leftFromText="180" w:rightFromText="180" w:vertAnchor="text" w:horzAnchor="margin" w:tblpXSpec="center" w:tblpY="35"/>
        <w:tblW w:w="10219" w:type="dxa"/>
        <w:tblLook w:val="04A0"/>
      </w:tblPr>
      <w:tblGrid>
        <w:gridCol w:w="2848"/>
        <w:gridCol w:w="1701"/>
        <w:gridCol w:w="1134"/>
        <w:gridCol w:w="1134"/>
        <w:gridCol w:w="1134"/>
        <w:gridCol w:w="1134"/>
        <w:gridCol w:w="1134"/>
      </w:tblGrid>
      <w:tr w:rsidR="009F66CD" w:rsidRPr="009F66CD" w:rsidTr="009F66CD">
        <w:trPr>
          <w:trHeight w:val="780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9F66CD" w:rsidRPr="009F66CD" w:rsidTr="009F66CD">
        <w:trPr>
          <w:trHeight w:val="330"/>
        </w:trPr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</w:t>
            </w:r>
          </w:p>
        </w:tc>
      </w:tr>
      <w:tr w:rsidR="009F66CD" w:rsidRPr="009F66CD" w:rsidTr="009F66CD">
        <w:trPr>
          <w:trHeight w:val="9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средних предприятий (на конец года)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6CD" w:rsidRPr="009F66CD" w:rsidTr="009F66CD">
        <w:trPr>
          <w:trHeight w:val="6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малых предприятий, в том числе микропредприятий (на конец года)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F66CD" w:rsidRPr="009F66CD" w:rsidTr="009F66CD">
        <w:trPr>
          <w:trHeight w:val="3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9F66CD" w:rsidRPr="009F66CD" w:rsidTr="009F66CD">
        <w:trPr>
          <w:trHeight w:val="6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по средним предприятиям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</w:p>
        </w:tc>
      </w:tr>
      <w:tr w:rsidR="009F66CD" w:rsidRPr="009F66CD" w:rsidTr="009F66CD">
        <w:trPr>
          <w:trHeight w:val="9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по малым предприятиям (включая </w:t>
            </w:r>
            <w:proofErr w:type="spellStart"/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</w:t>
            </w:r>
          </w:p>
        </w:tc>
      </w:tr>
      <w:tr w:rsidR="009F66CD" w:rsidRPr="009F66CD" w:rsidTr="009F66CD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</w:t>
            </w:r>
          </w:p>
        </w:tc>
      </w:tr>
      <w:tr w:rsidR="009F66CD" w:rsidRPr="009F66CD" w:rsidTr="009F66CD">
        <w:trPr>
          <w:trHeight w:val="6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CD" w:rsidRPr="009F66CD" w:rsidRDefault="009F66CD" w:rsidP="009F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p w:rsidR="009F66CD" w:rsidRDefault="009F66CD" w:rsidP="00B46AE7">
      <w:pPr>
        <w:pStyle w:val="a3"/>
        <w:spacing w:before="240" w:line="276" w:lineRule="auto"/>
        <w:ind w:left="-426" w:right="-284" w:firstLine="567"/>
        <w:jc w:val="both"/>
        <w:rPr>
          <w:sz w:val="26"/>
          <w:szCs w:val="26"/>
        </w:rPr>
      </w:pPr>
    </w:p>
    <w:sectPr w:rsidR="009F66CD" w:rsidSect="009F66C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1D4"/>
    <w:multiLevelType w:val="hybridMultilevel"/>
    <w:tmpl w:val="E3D2987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84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623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6E21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3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5F8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59B2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546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38D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4E79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1F16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0D84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98B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5A70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2FC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66CD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D84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AE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BB2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16B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0EED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E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232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58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List Paragraph,ПАРАГРАФ"/>
    <w:basedOn w:val="a"/>
    <w:link w:val="a4"/>
    <w:uiPriority w:val="34"/>
    <w:qFormat/>
    <w:rsid w:val="00AC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C0D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0D8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C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11 Знак,List Paragraph Знак,ПАРАГРАФ Знак"/>
    <w:link w:val="a3"/>
    <w:uiPriority w:val="34"/>
    <w:locked/>
    <w:rsid w:val="00AC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84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F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Структура субъектов МСП     по видам деятельности в % </a:t>
            </a:r>
          </a:p>
        </c:rich>
      </c:tx>
      <c:layout>
        <c:manualLayout>
          <c:xMode val="edge"/>
          <c:yMode val="edge"/>
          <c:x val="0.15174753070687363"/>
          <c:y val="2.4986876640420003E-2"/>
        </c:manualLayout>
      </c:layout>
      <c:spPr>
        <a:solidFill>
          <a:schemeClr val="accent5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11542253735696012"/>
          <c:y val="0.18531112565352922"/>
          <c:w val="0.86683763487898113"/>
          <c:h val="0.368743183241505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 предприниматели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157407407407408E-2"/>
                  <c:y val="5.218525766470971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629629629629697E-3"/>
                  <c:y val="2.609262883235485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158792498920749E-3"/>
                  <c:y val="1.050610008424691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3148148148148997E-3"/>
                  <c:y val="7.827788649706457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5.218525766470971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98"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розничная торговля и услуги</c:v>
                </c:pt>
                <c:pt idx="4">
                  <c:v>транспорт и связь</c:v>
                </c:pt>
                <c:pt idx="5">
                  <c:v>операции с нежвижимым имуществом</c:v>
                </c:pt>
                <c:pt idx="6">
                  <c:v>предоставление коммунальных, социальных и персональных услуг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19.2</c:v>
                </c:pt>
                <c:pt idx="1">
                  <c:v>2.9</c:v>
                </c:pt>
                <c:pt idx="2">
                  <c:v>1.7000000000000002</c:v>
                </c:pt>
                <c:pt idx="3">
                  <c:v>44.4</c:v>
                </c:pt>
                <c:pt idx="4">
                  <c:v>17.8</c:v>
                </c:pt>
                <c:pt idx="5">
                  <c:v>2.2999999999999998</c:v>
                </c:pt>
                <c:pt idx="6">
                  <c:v>4.0999999999999996</c:v>
                </c:pt>
                <c:pt idx="7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3"/>
              <c:layout>
                <c:manualLayout>
                  <c:x val="1.3888888888889095E-2"/>
                  <c:y val="5.218525766470971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98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розничная торговля и услуги</c:v>
                </c:pt>
                <c:pt idx="4">
                  <c:v>транспорт и связь</c:v>
                </c:pt>
                <c:pt idx="5">
                  <c:v>операции с нежвижимым имуществом</c:v>
                </c:pt>
                <c:pt idx="6">
                  <c:v>предоставление коммунальных, социальных и персональных услуг</c:v>
                </c:pt>
                <c:pt idx="7">
                  <c:v>прочие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33.5</c:v>
                </c:pt>
                <c:pt idx="1">
                  <c:v>9.1</c:v>
                </c:pt>
                <c:pt idx="2">
                  <c:v>8.9</c:v>
                </c:pt>
                <c:pt idx="3">
                  <c:v>27.5</c:v>
                </c:pt>
                <c:pt idx="4">
                  <c:v>8.3000000000000007</c:v>
                </c:pt>
                <c:pt idx="5">
                  <c:v>3.5</c:v>
                </c:pt>
                <c:pt idx="6">
                  <c:v>1.8</c:v>
                </c:pt>
                <c:pt idx="7">
                  <c:v>7.4</c:v>
                </c:pt>
              </c:numCache>
            </c:numRef>
          </c:val>
        </c:ser>
        <c:axId val="138959488"/>
        <c:axId val="138981760"/>
      </c:barChart>
      <c:catAx>
        <c:axId val="138959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79" b="1" baseline="0">
                <a:solidFill>
                  <a:srgbClr val="002060"/>
                </a:solidFill>
                <a:latin typeface="Arial Black" pitchFamily="34" charset="0"/>
              </a:defRPr>
            </a:pPr>
            <a:endParaRPr lang="ru-RU"/>
          </a:p>
        </c:txPr>
        <c:crossAx val="138981760"/>
        <c:crosses val="autoZero"/>
        <c:auto val="1"/>
        <c:lblAlgn val="ctr"/>
        <c:lblOffset val="100"/>
      </c:catAx>
      <c:valAx>
        <c:axId val="138981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8959488"/>
        <c:crosses val="autoZero"/>
        <c:crossBetween val="between"/>
      </c:valAx>
      <c:spPr>
        <a:noFill/>
        <a:ln w="25396">
          <a:noFill/>
        </a:ln>
      </c:spPr>
    </c:plotArea>
    <c:legend>
      <c:legendPos val="t"/>
      <c:layout>
        <c:manualLayout>
          <c:xMode val="edge"/>
          <c:yMode val="edge"/>
          <c:x val="0.10730195352497461"/>
          <c:y val="9.4860876529407154E-2"/>
          <c:w val="0.8469858303487221"/>
          <c:h val="8.4898541760830198E-2"/>
        </c:manualLayout>
      </c:layout>
      <c:txPr>
        <a:bodyPr/>
        <a:lstStyle/>
        <a:p>
          <a:pPr>
            <a:defRPr sz="1198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3">
            <a:lumMod val="20000"/>
            <a:lumOff val="80000"/>
          </a:schemeClr>
        </a:gs>
        <a:gs pos="91000">
          <a:srgbClr val="4F81BD">
            <a:tint val="44500"/>
            <a:satMod val="160000"/>
            <a:alpha val="38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0.02408</cdr:x>
      <cdr:y>0.93347</cdr:y>
    </cdr:from>
    <cdr:to>
      <cdr:x>0.17817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" y="4276725"/>
          <a:ext cx="9144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2</cp:revision>
  <cp:lastPrinted>2017-08-03T09:38:00Z</cp:lastPrinted>
  <dcterms:created xsi:type="dcterms:W3CDTF">2020-02-21T09:20:00Z</dcterms:created>
  <dcterms:modified xsi:type="dcterms:W3CDTF">2020-02-21T09:20:00Z</dcterms:modified>
</cp:coreProperties>
</file>