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5043"/>
        <w:gridCol w:w="5043"/>
      </w:tblGrid>
      <w:tr>
        <w:trPr>
          <w:trHeight w:val="4644" w:hRule="auto"/>
          <w:jc w:val="left"/>
        </w:trPr>
        <w:tc>
          <w:tcPr>
            <w:tcW w:w="50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962" w:leader="none"/>
              </w:tabs>
              <w:spacing w:before="0" w:after="0" w:line="240"/>
              <w:ind w:right="-108" w:left="0" w:firstLine="7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object w:dxaOrig="748" w:dyaOrig="1194">
                <v:rect xmlns:o="urn:schemas-microsoft-com:office:office" xmlns:v="urn:schemas-microsoft-com:vml" id="rectole0000000000" style="width:37.400000pt;height:59.7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DrawAspect="Content" ObjectID="0000000000" ShapeID="rectole0000000000" r:id="docRId0"/>
              </w:object>
            </w:r>
          </w:p>
          <w:p>
            <w:pPr>
              <w:tabs>
                <w:tab w:val="left" w:pos="4962" w:leader="none"/>
              </w:tabs>
              <w:spacing w:before="0" w:after="0" w:line="240"/>
              <w:ind w:right="-108" w:left="0" w:firstLine="7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tabs>
                <w:tab w:val="left" w:pos="4962" w:leader="none"/>
              </w:tabs>
              <w:spacing w:before="0" w:after="0" w:line="240"/>
              <w:ind w:right="-108" w:left="0" w:firstLine="7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МЧС РОССИИ</w:t>
            </w:r>
          </w:p>
          <w:p>
            <w:pPr>
              <w:tabs>
                <w:tab w:val="left" w:pos="4962" w:leader="none"/>
              </w:tabs>
              <w:spacing w:before="0" w:after="0" w:line="240"/>
              <w:ind w:right="-108" w:left="0" w:firstLine="7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tabs>
                <w:tab w:val="left" w:pos="4962" w:leader="none"/>
              </w:tabs>
              <w:spacing w:before="0" w:after="0" w:line="240"/>
              <w:ind w:right="-108" w:left="0" w:firstLine="7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ВОРОНЕЖСКОЙ ОБЛАСТИ</w:t>
            </w:r>
          </w:p>
          <w:p>
            <w:pPr>
              <w:tabs>
                <w:tab w:val="left" w:pos="4962" w:leader="none"/>
              </w:tabs>
              <w:spacing w:before="0" w:after="0" w:line="240"/>
              <w:ind w:right="-108" w:left="0" w:firstLine="7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Главное управление МЧС России по Воронежской области)</w:t>
            </w:r>
          </w:p>
          <w:p>
            <w:pPr>
              <w:tabs>
                <w:tab w:val="left" w:pos="4962" w:leader="none"/>
              </w:tabs>
              <w:spacing w:before="0" w:after="0" w:line="240"/>
              <w:ind w:right="-108" w:left="0" w:firstLine="7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962" w:leader="none"/>
              </w:tabs>
              <w:spacing w:before="0" w:after="0" w:line="240"/>
              <w:ind w:right="-108" w:left="0" w:firstLine="7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Куцыгина, 28, г. Воронеж, 394006</w:t>
            </w:r>
          </w:p>
          <w:p>
            <w:pPr>
              <w:tabs>
                <w:tab w:val="left" w:pos="4962" w:leader="none"/>
              </w:tabs>
              <w:spacing w:before="0" w:after="0" w:line="240"/>
              <w:ind w:right="-108" w:left="0" w:firstLine="7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Тел. 8(473)271-20-82, факс 8(473)271-20-82</w:t>
            </w:r>
          </w:p>
          <w:p>
            <w:pPr>
              <w:tabs>
                <w:tab w:val="left" w:pos="4962" w:leader="none"/>
              </w:tabs>
              <w:spacing w:before="0" w:after="0" w:line="240"/>
              <w:ind w:right="-108" w:left="0" w:firstLine="7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e-mail: mchs-vrn@mail.ru</w:t>
            </w:r>
          </w:p>
          <w:p>
            <w:pPr>
              <w:tabs>
                <w:tab w:val="left" w:pos="4962" w:leader="none"/>
              </w:tabs>
              <w:spacing w:before="0" w:after="0" w:line="240"/>
              <w:ind w:right="-108" w:left="0" w:firstLine="7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tabs>
                <w:tab w:val="left" w:pos="4962" w:leader="none"/>
              </w:tabs>
              <w:spacing w:before="0" w:after="0" w:line="240"/>
              <w:ind w:right="-108" w:left="0" w:firstLine="7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от 27.12.2020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  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 494-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19-3-2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</w:t>
            </w:r>
          </w:p>
        </w:tc>
        <w:tc>
          <w:tcPr>
            <w:tcW w:w="50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tbl>
            <w:tblPr/>
            <w:tblGrid>
              <w:gridCol w:w="1834"/>
            </w:tblGrid>
            <w:tr>
              <w:trPr>
                <w:trHeight w:val="423" w:hRule="auto"/>
                <w:jc w:val="left"/>
              </w:trPr>
              <w:tc>
                <w:tcPr>
                  <w:tcW w:w="18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tabs>
                      <w:tab w:val="center" w:pos="4677" w:leader="none"/>
                      <w:tab w:val="right" w:pos="9355" w:leader="none"/>
                    </w:tabs>
                    <w:spacing w:before="0" w:after="0" w:line="240"/>
                    <w:ind w:right="-57" w:left="-57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Учетный номер</w:t>
                  </w:r>
                </w:p>
              </w:tc>
            </w:tr>
            <w:tr>
              <w:trPr>
                <w:trHeight w:val="222" w:hRule="auto"/>
                <w:jc w:val="left"/>
              </w:trPr>
              <w:tc>
                <w:tcPr>
                  <w:tcW w:w="18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tabs>
                      <w:tab w:val="center" w:pos="4677" w:leader="none"/>
                      <w:tab w:val="right" w:pos="9355" w:leader="none"/>
                    </w:tabs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6.1.1</w:t>
                  </w:r>
                </w:p>
              </w:tc>
            </w:tr>
          </w:tbl>
          <w:p>
            <w:pPr>
              <w:tabs>
                <w:tab w:val="left" w:pos="1677699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1677699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1677699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Органам управления Воронежской территориальной подсистемы РСЧС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ab/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Главам местного самоуправления городских    округов и муниципальных   районов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Воронежской области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Единым дежурно-диспетчерским службам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муниципальных районов и городских округов Воронежской области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Главам городских и сельских поселений муниципальных образований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Воронежской области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hanging="75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Начальникам ПЧ, ПСЧ</w:t>
            </w:r>
          </w:p>
        </w:tc>
      </w:tr>
    </w:tbl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keepNext w:val="true"/>
        <w:numPr>
          <w:ilvl w:val="0"/>
          <w:numId w:val="15"/>
        </w:numPr>
        <w:tabs>
          <w:tab w:val="left" w:pos="0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ЕЖЕДНЕВНЫЙ ОПЕРАТИВНЫЙ ПРОГНОЗ </w:t>
      </w:r>
    </w:p>
    <w:p>
      <w:pPr>
        <w:keepNext w:val="true"/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возникновения и развития чрезвычайных ситуаций</w:t>
      </w:r>
    </w:p>
    <w:p>
      <w:pPr>
        <w:keepNext w:val="true"/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на территории Воронежской области на 28.12.2020       </w:t>
      </w:r>
    </w:p>
    <w:p>
      <w:pPr>
        <w:tabs>
          <w:tab w:val="left" w:pos="284" w:leader="none"/>
          <w:tab w:val="left" w:pos="4253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" w:leader="none"/>
          <w:tab w:val="left" w:pos="4253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Обстановка 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Метеорологическая обстановка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(по данным Воронежского ЦГМС)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Переменная облачность. Без существенных осадков. Местами туман. Ветер ночью переменный 0-5 м/с, днем восточной четверти 5-10 м/с. Температура ночью -12…-7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С, днем                   -9…-4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Биолого-социальная обстановка  </w:t>
      </w:r>
    </w:p>
    <w:p>
      <w:pPr>
        <w:numPr>
          <w:ilvl w:val="0"/>
          <w:numId w:val="19"/>
        </w:numPr>
        <w:tabs>
          <w:tab w:val="left" w:pos="0" w:leader="none"/>
          <w:tab w:val="left" w:pos="567" w:leader="none"/>
          <w:tab w:val="left" w:pos="708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В связи с угрозой распространения новой коронавирусной инфекции (COVID-19), на территории области проводится комплекс профилактических мероприятий.  </w:t>
      </w:r>
    </w:p>
    <w:p>
      <w:pPr>
        <w:numPr>
          <w:ilvl w:val="0"/>
          <w:numId w:val="19"/>
        </w:numPr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состоянию на 13.00 27.12.2020 в Воронежской области за сутки зарегистрировано 390 случаев заражения новой коронавирусной инфекцией.    </w:t>
      </w:r>
    </w:p>
    <w:p>
      <w:pPr>
        <w:numPr>
          <w:ilvl w:val="0"/>
          <w:numId w:val="19"/>
        </w:numPr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Всего, с нарастающим  итогом, на территории Воронежской области зарегистрировано 44673 случая заражения новой коронавирусной  инфекцией, из них вылечено и выписано 42654 человека, погибло 1061 человек. </w:t>
      </w:r>
    </w:p>
    <w:p>
      <w:pPr>
        <w:numPr>
          <w:ilvl w:val="0"/>
          <w:numId w:val="19"/>
        </w:numPr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1.3.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Радиационно-химическая и экологическая обстановка 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Радиационная, химическая и бактериологическая обстановка на территории региона в норме. Естественный радиационный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фон 12-16 мкР/час.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Общий уровень загрязнения окружающей среды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удовлетворительный. Экологическая обстановка благоприятная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фоновые показатели атмосферного воздуха не превышают предельно допустимых концентраций.      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данным Воронежского ЦГМС 28 декабря метеорологические условия будут способствовать рассеиванию вредных примесей в приземном слое атмосферы.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Гидрологическая обстановка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(по данным Воронежского ЦГМС) 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Гидрологическая обстановка на территории области в норме.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Геомагнитная обстановка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(по данным ИЗМИРАН)  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прошедшие сутки геомагнитная обстановка была преимущественно спокойной.  Ожидается, что в ближайшие сутки геомагнитная обстановка будет преимущественно спокойной.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Экзогенная обстановка  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Экзогенная обстановка на территории области находится на уровне приемлемых рисков.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Сейсмическая обстановка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Сейсмическая обстановка на территории области находится на уровне приемлемых потенциальных сейсмических рисков.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1.8.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Техногенная обстановка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Техногенная обстановка на территории области находится на уровне приемлемых рисков.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Прогноз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возникновения происшествий (ЧС)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Опасные метеорологические явления: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не прогнозируются.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Неблагоприятные метеорологические явления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: не прогнозируются.</w:t>
      </w:r>
    </w:p>
    <w:p>
      <w:pPr>
        <w:tabs>
          <w:tab w:val="left" w:pos="70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Риски трансграничного характера: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не прогнозируются.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Природные и природно-техногенные источники ЧС 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территории области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повышаются риски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возникновения ДТП на трассах местного и федерального значения (Источник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нарушения правил дорожного движения, туман).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Вероятность возникновения ЧС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Р=0,2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tabs>
          <w:tab w:val="left" w:pos="70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Участки дорог с повышенным риском возникновения ДТП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: автодорога М-4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- 519-524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км (Новоусманский муниципальный район); 589-610 км (Лискинский муниципальный район); 627-630 км (Бобровский муниципальный район); 655-677 км (Павловский муниципальный район), 694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697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км (Верхнемамонский муниципальный район); автодорога Р-298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Курск-Воронеж - Борисоглебск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- 450-451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км (Борисоглебский городской округ).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Существуют риски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связанные с перебоями в работе аэропорта, задержками и отменами авиарейсов (Источник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туман).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Техногенные источники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территории области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повышаются риски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возникновения техногенных пожаров в зданиях жилого, социально-культурного, бытового и производственного назначения (Источник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нарушение правил эксплуатации электробытовых приборов, неосторожное обращение с огнем, нарушение правил пожарной безопасности, неисправность печного, газового или электрооборудования, нарушение правил эксплуатации петард, фейерверков и гирлянд в новогодние праздники, понижение температуры воздуха в ночные часы).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Наибольшая вероятность возникновения пожаров в городском округе город Воронеж, Бобровском, Лискинском, Семилукском, Рамонском, Новоусманском и Павловском муниципальных районах.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Вероятность возникновения крупных техногенных пожаров (с гибелью 2 и более человек) 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4"/>
          <w:shd w:fill="auto" w:val="clear"/>
        </w:rPr>
        <w:t xml:space="preserve">Р=0,3.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системах жизнеобеспечения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повышается вероятность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возникновения техногенных аварий (Источник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высокий процент износа сетей (в среднем до 70%), отопительный сезон, понижение температуры воздуха в ночные часы).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Повышенный риск возникновения аварий в городском округе город Воронеж, Россошанском, Лискинском, Кантемировском и Новоусманском муниципальных районах.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Вероятность возникновения ЧС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Р=0,3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результате высокого процента износа сетей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сохраняется вероятность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возникновения аварий на ЛЭП. 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Вероятность возникновения ЧС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Р=0,1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Муниципальные образования с повышенным риском возникновения аварий на ЛЭП: городской округ город Воронеж, Аннинский, Богучарский, Калачеевский, Лискинский, Нижнедевицкий, Павловский и Таловский муниципальные районы.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Из-за нарушения правил эксплуатации газового оборудования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существует вероятность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взрывов бытового газа в жилых и дачных домах, возможны случаи отравления населения угарным газом. 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Муниципальные образования с повышенным риском возникновения аварий: городской округ город Воронеж, Новоусманский, Семилукский, Кантемировский и Острогожский муниципальные районы.      </w:t>
      </w:r>
    </w:p>
    <w:p>
      <w:pPr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Вероятность возникновения чрезвычайных ситуаций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Р=0,1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Биолого-социальные источники ЧС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 территории области повышается вероятность увеличения количества людей, обратившихся в лечебные учреждения с подозрением на новую коронавирусную инфекцию (COVID-19),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возможно увеличение числа заболевшего населения гриппом, острыми вирусными инфекциями дыхательных путей.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 территории области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повышается вероятность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возникновения происшествий и гибели людей 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водных объектах, провалов людей и техники под лед (Источник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неокрепший ледяной покров, несоблюдение мер безопасности при нахождении на водных объектах, туман).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Наибольшая вероятность возникновения происшествий на водных объектах в Верхнемамонском, Павловском, Рамонском муниципальных районах и Борисоглебском городском округе. </w:t>
      </w:r>
    </w:p>
    <w:p>
      <w:pPr>
        <w:tabs>
          <w:tab w:val="left" w:pos="80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Вероятность возникновения ЧС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Р=0,3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Сохраняется вероятность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заболеваемости населения сальмонеллезом, дизентерией, другими острыми кишечными инфекциями (Источник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изношенность канализационных и водопроводных сетей, нарушение санитарно-эпидемиологического режима на пищевых предприятиях и продуктовых рынках).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Вероятность возникновения ЧС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Р=0,05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 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Из-за несоблюдения правил безопасности при использовании пиротехнических средств,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возможно увеличение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случаев травматизма населения.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Сохраняется угроза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возникновения новых случаев заболевания бешенством среди сельскохозяйственных и домашних животных.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Повышенный риск возникновения заболевания бешенством среди животных в Семилукском, Верхнехавском, Новоусманском, Аннинском, Бобровском, Подгоренском, Россошанском, Богучарском, Кантемировском муниципальных районах.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Вероятность заболевания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Р=0,1.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территории области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сохраняются риски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заболевания сельскохозяйственных животных африканской чумой свиней, бруцеллезом, оспой овец и коз.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территории области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сохраняется вероятность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возникновения очагов птичьего гриппа.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Угрозы террористических актов 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территории области существует угроза совершения террористических актов.</w:t>
      </w:r>
    </w:p>
    <w:p>
      <w:pPr>
        <w:tabs>
          <w:tab w:val="left" w:pos="1677696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1677696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Рекомендованные превентивные мероприятия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Органам местного самоуправления и руководителям заинтересованных организаций: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Поддерживать в готовности пожарно-спасательные формирования, аварийные бригады, коммунальные и дорожные службы к немедленному реагированию в случае возникновения аварийных и кризисных ситуаций.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Совместно с территориальными органами федеральных органов исполнительной власти, исполнительными органами государственной власти Воронежской области и их подчиненными подразделениями: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реализовать меры по предупреждению возникновения аварийных и чрезвычайных ситуаций на автомобильных трассах; дорожным службам организовать дежурство на участках дорог с повышенным риском возникновения ДТП;</w:t>
      </w:r>
    </w:p>
    <w:p>
      <w:pPr>
        <w:tabs>
          <w:tab w:val="left" w:pos="756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продолжать проверки противопожарного состояния административных зданий, учебных учреждений, производственных объектов. Проводить комплекс мероприятий по повышению пожарной безопасности на объектах с массовым пребыванием людей, обратить особое внимание на ВУЗы, общеобразовательные школы, дошкольные учреждения. Выявлять места проживания неблагополучных в социальном отношении семей, одиноких пенсионеров и инвалидов, а также ветхого жилья, уделяя особое внимание организации профилактической работы с данной категорией населения;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проводить разъяснительную работу с потребителями (абонентами) природного газа по пользованию газом в быту и содержанию ими газового оборудования в исправном состоянии, о необходимости заключения договоров на техническое обслуживание внутридомового газового оборудования со специализированной организацией;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осуществлять ежедневный контроль функционирования объектов ТЭК и ЖКХ, а также контроль готовности аварийно-восстановительных бригад муниципальных образований к реагированию на возникновение аварий;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организовать выявление нарушений в санитарно-техническом и санитарно-гигиеническом состоянии пищевых объектов;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организовать контроль за эпидемиологической обстановкой, направленный на своевременное обнаружение и не распространение заболеваемости бешенством, АЧС, бруцеллезом среди животных. Проводить разъяснительную работу с населением по принятию мер по профилактике заболеваний животных.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02.12.2019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1095-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организации мероприятий по обеспечению безопасности на водных объектах области в 2020 году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приказом Главного управления МЧС России по Воронежской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области от 09.11.2020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852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 организации и проведении мероприятий по обеспечению безопасности людей на водных объектах Воронежской области в период месячника безопасности и до окончания осенне-зимнего периода 2020 годов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Планом мероприятий по обеспечению безопасности на водных объектах области в 2020 году. </w:t>
      </w:r>
    </w:p>
    <w:p>
      <w:pPr>
        <w:tabs>
          <w:tab w:val="left" w:pos="800" w:leader="none"/>
        </w:tabs>
        <w:spacing w:before="0" w:after="0" w:line="24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целях предупреждения распространения новой коронавирусной инфекции (COVID-19) руководствоваться указом Президента РФ от 25.03.2020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206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Об объявлении в Российской Федерации нерабочих дней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постановлением главного государственного санитарного врача РФ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от 24.01.2020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 дополнительных мероприятиях по недопущению завоза и распространения новой коронавирусной инфекции, вызванной 2019-nCoV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распоряжением губернатора Воронежской области от 17.03.2020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30-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рг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 мерах по снижению рисков завоза и распространения новой коронавирусной инфекции (2019-nCoV) на территории Воронежской области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указами губернатора Воронежской области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 дополнительных мерах по снижению риска распространения коронавирусной инфекции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от 26.03.2020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125-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у, 27.03.2020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128-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у, 31.03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.2020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132-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у.</w:t>
      </w:r>
    </w:p>
    <w:p>
      <w:pPr>
        <w:numPr>
          <w:ilvl w:val="0"/>
          <w:numId w:val="43"/>
        </w:numPr>
        <w:tabs>
          <w:tab w:val="left" w:pos="80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целях предупреждения распространения гриппа и острых респираторных вирусных инфекций:</w:t>
      </w:r>
    </w:p>
    <w:p>
      <w:pPr>
        <w:numPr>
          <w:ilvl w:val="0"/>
          <w:numId w:val="43"/>
        </w:numPr>
        <w:tabs>
          <w:tab w:val="left" w:pos="80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продолжать профилактику среди населения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первую очередь детей, пожилых людей с хроническими заболеваниями, а также лиц повышенного риска заражения: </w:t>
      </w:r>
    </w:p>
    <w:p>
      <w:pPr>
        <w:numPr>
          <w:ilvl w:val="0"/>
          <w:numId w:val="43"/>
        </w:numPr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обеспечить создание необходимого запаса медикаментов для лечения и профилактики гриппа и острых респираторных вирусных инфекций в аптеках и лечебно-профилактических учреждениях;</w:t>
      </w:r>
    </w:p>
    <w:p>
      <w:pPr>
        <w:numPr>
          <w:ilvl w:val="0"/>
          <w:numId w:val="43"/>
        </w:numPr>
        <w:tabs>
          <w:tab w:val="left" w:pos="80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обеспечить готовность лечебно-профилактических учреждений на период подъема заболеваемости инфекциями с воздушно-капельным механизмом передачи;</w:t>
      </w:r>
    </w:p>
    <w:p>
      <w:pPr>
        <w:numPr>
          <w:ilvl w:val="0"/>
          <w:numId w:val="43"/>
        </w:numPr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рекомендовать руководителям предприятий, организаций и учреждений провести комплекс работ по созданию надлежащих условий в зимний период для работающих на открытом воздухе и поддержанию необходимого температурного режима в детских образовательных, лечебно-профилактических учреждениях, жилых домах, на транспорте и др.;</w:t>
      </w:r>
    </w:p>
    <w:p>
      <w:pPr>
        <w:numPr>
          <w:ilvl w:val="0"/>
          <w:numId w:val="43"/>
        </w:numPr>
        <w:tabs>
          <w:tab w:val="left" w:pos="80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усилить мероприятия по санитарной охране территории области от заноса и распространения карантинных инфекций и других заболеваний, выявлять заболевших респираторно-вирусной инфекцией граждан, прибывших из дальнего и ближнего зарубежья.</w:t>
      </w:r>
    </w:p>
    <w:p>
      <w:pPr>
        <w:numPr>
          <w:ilvl w:val="0"/>
          <w:numId w:val="43"/>
        </w:numPr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связи с туманом:</w:t>
      </w:r>
    </w:p>
    <w:p>
      <w:pPr>
        <w:numPr>
          <w:ilvl w:val="0"/>
          <w:numId w:val="43"/>
        </w:numPr>
        <w:tabs>
          <w:tab w:val="left" w:pos="70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организовать комплекс превентивных мероприятий, направленных на предупреждение чрезвычайных ситуаций, минимизацию их последствий;  </w:t>
      </w:r>
    </w:p>
    <w:p>
      <w:pPr>
        <w:numPr>
          <w:ilvl w:val="0"/>
          <w:numId w:val="43"/>
        </w:numPr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обеспечить нормальное функционирование транспортного сообщения;</w:t>
      </w:r>
    </w:p>
    <w:p>
      <w:pPr>
        <w:numPr>
          <w:ilvl w:val="0"/>
          <w:numId w:val="43"/>
        </w:numPr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информацию о погодных условиях довести до руководителей санаториев, пансионатов, туристических маршрутов;</w:t>
      </w:r>
    </w:p>
    <w:p>
      <w:pPr>
        <w:numPr>
          <w:ilvl w:val="0"/>
          <w:numId w:val="43"/>
        </w:numPr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организаторам проведения мероприятий на открытом пространстве обеспечить безопасность участников мероприятий.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Вести с населением области разъяснительную работу через СМИ: 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соблюдении правил дорожного движения и скоростного режима на автодорогах области;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правилах эксплуатации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электробытовых и газовых устройств;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 профилактике заболеваемости новой коронавирусной инфекцией;</w:t>
      </w:r>
    </w:p>
    <w:p>
      <w:pPr>
        <w:numPr>
          <w:ilvl w:val="0"/>
          <w:numId w:val="53"/>
        </w:numPr>
        <w:tabs>
          <w:tab w:val="left" w:pos="0" w:leader="none"/>
        </w:tabs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опасности выхода на неокрепший лед водоемов;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 профилактике природно-очаговых инфекций.</w:t>
      </w:r>
    </w:p>
    <w:p>
      <w:pPr>
        <w:numPr>
          <w:ilvl w:val="0"/>
          <w:numId w:val="55"/>
        </w:numPr>
        <w:tabs>
          <w:tab w:val="left" w:pos="80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Усилить контроль на потенциально опасных, критически важных, социально значимых объектах, в местах массового пребывания людей. </w:t>
      </w:r>
    </w:p>
    <w:p>
      <w:pPr>
        <w:numPr>
          <w:ilvl w:val="0"/>
          <w:numId w:val="55"/>
        </w:numPr>
        <w:tabs>
          <w:tab w:val="left" w:pos="708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Поддерживать на необходимом уровне запасы материальных и финансовых ресурсов для ликвидации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чрезвычайных ситуаций. При возникновении предпосылок ЧС,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последствий. </w:t>
      </w:r>
    </w:p>
    <w:p>
      <w:pPr>
        <w:numPr>
          <w:ilvl w:val="0"/>
          <w:numId w:val="55"/>
        </w:numPr>
        <w:tabs>
          <w:tab w:val="left" w:pos="708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numPr>
          <w:ilvl w:val="0"/>
          <w:numId w:val="55"/>
        </w:numPr>
        <w:tabs>
          <w:tab w:val="left" w:pos="708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ЕДДС муниципальных районов и городских округов:</w:t>
      </w:r>
    </w:p>
    <w:p>
      <w:pPr>
        <w:numPr>
          <w:ilvl w:val="0"/>
          <w:numId w:val="55"/>
        </w:numPr>
        <w:tabs>
          <w:tab w:val="left" w:pos="708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возникновении ЧС и происшествий, проведении тренировок, прогнозировании неблагоприятных (опасных) метеорологических явлений в обязательном порядке использовать в работе модели развития обстановки, разработанные ОДС ЦУКС и размещенные на файловом обменнике с ЕДДС (FileZilla);</w:t>
      </w:r>
    </w:p>
    <w:p>
      <w:pPr>
        <w:numPr>
          <w:ilvl w:val="0"/>
          <w:numId w:val="55"/>
        </w:numPr>
        <w:tabs>
          <w:tab w:val="left" w:pos="708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Доводить до глав районов, сельских поселений, дежурных диспетчерских служб потенциально опасных и социально значимых объектов модели развития и прогноз развития ЧС.</w:t>
      </w:r>
    </w:p>
    <w:p>
      <w:pPr>
        <w:numPr>
          <w:ilvl w:val="0"/>
          <w:numId w:val="55"/>
        </w:numPr>
        <w:tabs>
          <w:tab w:val="left" w:pos="708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1094" w:dyaOrig="892">
          <v:rect xmlns:o="urn:schemas-microsoft-com:office:office" xmlns:v="urn:schemas-microsoft-com:vml" id="rectole0000000001" style="width:54.700000pt;height:44.6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Прогноз разработан на основе данных Воронежского ЦГМС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филиала ФГБУ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Центрально-Черноземное УГМС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ТЦ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Воронежгеомониторинг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Верхне-Донского управления Федеральной службы по экологическому, технологическому и атомному надзору, Департамента природных ресурсов и экологии Воронежской области, Управления Федеральной службы по надзору в сфере защиты прав потребителей и благополучия человека по Воронежской области, отдела водных ресурсов по Воронежской области Донского бассейнового водного управления, Управления лесного хозяйства Воронежской области, Департамента аграрной политики Воронежской области, Управления надзорной деятельности и профилактической работы ГУ МЧС России по Воронежской области, Управления ГИБДД ГУ МВД России по Воронежской области, филиала ПАО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МРСК Центра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-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Воронежэнерго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Департамента жилищно-коммунального хозяйства и энергетики Воронежской области, Управления ветеринарии по Воронежской области. </w:t>
      </w:r>
    </w:p>
    <w:tbl>
      <w:tblPr/>
      <w:tblGrid>
        <w:gridCol w:w="4143"/>
        <w:gridCol w:w="4143"/>
        <w:gridCol w:w="4143"/>
        <w:gridCol w:w="4143"/>
        <w:gridCol w:w="2660"/>
        <w:gridCol w:w="3402"/>
      </w:tblGrid>
      <w:tr>
        <w:trPr>
          <w:trHeight w:val="880" w:hRule="auto"/>
          <w:jc w:val="left"/>
        </w:trPr>
        <w:tc>
          <w:tcPr>
            <w:tcW w:w="41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5"/>
              </w:numPr>
              <w:tabs>
                <w:tab w:val="left" w:pos="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55"/>
              </w:numPr>
              <w:tabs>
                <w:tab w:val="left" w:pos="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55"/>
              </w:numPr>
              <w:tabs>
                <w:tab w:val="left" w:pos="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начальника центра</w:t>
            </w:r>
          </w:p>
          <w:p>
            <w:pPr>
              <w:numPr>
                <w:ilvl w:val="0"/>
                <w:numId w:val="55"/>
              </w:numPr>
              <w:tabs>
                <w:tab w:val="left" w:pos="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старший оперативный дежурный)</w:t>
            </w:r>
          </w:p>
          <w:p>
            <w:pPr>
              <w:numPr>
                <w:ilvl w:val="0"/>
                <w:numId w:val="55"/>
              </w:numPr>
              <w:tabs>
                <w:tab w:val="left" w:pos="7655" w:leader="none"/>
                <w:tab w:val="left" w:pos="7938" w:leader="none"/>
                <w:tab w:val="left" w:pos="8505" w:leader="none"/>
                <w:tab w:val="left" w:pos="8647" w:leader="none"/>
                <w:tab w:val="left" w:pos="9925" w:leader="none"/>
                <w:tab w:val="left" w:pos="10206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майор внутренней службы                                                                                 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1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1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655" w:leader="none"/>
                <w:tab w:val="left" w:pos="7938" w:leader="none"/>
                <w:tab w:val="left" w:pos="8505" w:leader="none"/>
                <w:tab w:val="left" w:pos="8647" w:leader="none"/>
                <w:tab w:val="left" w:pos="9925" w:leader="none"/>
                <w:tab w:val="left" w:pos="10206" w:leader="none"/>
              </w:tabs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7655" w:leader="none"/>
                <w:tab w:val="left" w:pos="7938" w:leader="none"/>
                <w:tab w:val="left" w:pos="8505" w:leader="none"/>
                <w:tab w:val="left" w:pos="8647" w:leader="none"/>
                <w:tab w:val="left" w:pos="9925" w:leader="none"/>
                <w:tab w:val="left" w:pos="10206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</w:t>
            </w:r>
          </w:p>
          <w:p>
            <w:pPr>
              <w:tabs>
                <w:tab w:val="left" w:pos="7655" w:leader="none"/>
                <w:tab w:val="left" w:pos="7938" w:leader="none"/>
                <w:tab w:val="left" w:pos="8505" w:leader="none"/>
                <w:tab w:val="left" w:pos="8647" w:leader="none"/>
                <w:tab w:val="left" w:pos="9925" w:leader="none"/>
                <w:tab w:val="left" w:pos="10206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</w:t>
            </w:r>
          </w:p>
          <w:p>
            <w:pPr>
              <w:tabs>
                <w:tab w:val="left" w:pos="7655" w:leader="none"/>
                <w:tab w:val="left" w:pos="7938" w:leader="none"/>
                <w:tab w:val="left" w:pos="8505" w:leader="none"/>
                <w:tab w:val="left" w:pos="8647" w:leader="none"/>
                <w:tab w:val="left" w:pos="9925" w:leader="none"/>
                <w:tab w:val="left" w:pos="10206" w:leader="none"/>
              </w:tabs>
              <w:spacing w:before="0" w:after="0" w:line="240"/>
              <w:ind w:right="-109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</w:t>
            </w:r>
          </w:p>
          <w:p>
            <w:pPr>
              <w:tabs>
                <w:tab w:val="left" w:pos="7655" w:leader="none"/>
                <w:tab w:val="left" w:pos="7938" w:leader="none"/>
                <w:tab w:val="left" w:pos="8505" w:leader="none"/>
                <w:tab w:val="left" w:pos="8647" w:leader="none"/>
                <w:tab w:val="left" w:pos="9925" w:leader="none"/>
                <w:tab w:val="left" w:pos="10206" w:leader="none"/>
              </w:tabs>
              <w:spacing w:before="0" w:after="0" w:line="240"/>
              <w:ind w:right="-109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В.И. Бухонов</w:t>
            </w:r>
          </w:p>
        </w:tc>
        <w:tc>
          <w:tcPr>
            <w:tcW w:w="41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5"/>
              </w:numPr>
              <w:tabs>
                <w:tab w:val="left" w:pos="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65"/>
              </w:numPr>
              <w:tabs>
                <w:tab w:val="left" w:pos="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65"/>
              </w:numPr>
              <w:tabs>
                <w:tab w:val="left" w:pos="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начальника центра</w:t>
            </w:r>
          </w:p>
          <w:p>
            <w:pPr>
              <w:numPr>
                <w:ilvl w:val="0"/>
                <w:numId w:val="65"/>
              </w:numPr>
              <w:tabs>
                <w:tab w:val="left" w:pos="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старший оперативный дежурный)</w:t>
            </w:r>
          </w:p>
          <w:p>
            <w:pPr>
              <w:numPr>
                <w:ilvl w:val="0"/>
                <w:numId w:val="65"/>
              </w:numPr>
              <w:tabs>
                <w:tab w:val="left" w:pos="7655" w:leader="none"/>
                <w:tab w:val="left" w:pos="7938" w:leader="none"/>
                <w:tab w:val="left" w:pos="8505" w:leader="none"/>
                <w:tab w:val="left" w:pos="8647" w:leader="none"/>
                <w:tab w:val="left" w:pos="9925" w:leader="none"/>
                <w:tab w:val="left" w:pos="10206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подполковник внутренней службы                                                                                 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907" w:dyaOrig="907">
                <v:rect xmlns:o="urn:schemas-microsoft-com:office:office" xmlns:v="urn:schemas-microsoft-com:vml" id="rectole0000000002" style="width:45.350000pt;height:45.350000pt" o:preferrelative="t" o:ole="">
                  <o:lock v:ext="edit"/>
                  <v:imagedata xmlns:r="http://schemas.openxmlformats.org/officeDocument/2006/relationships" r:id="docRId5" o:title=""/>
                </v:rect>
      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      </w:object>
            </w:r>
          </w:p>
        </w:tc>
        <w:tc>
          <w:tcPr>
            <w:tcW w:w="34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655" w:leader="none"/>
                <w:tab w:val="left" w:pos="7938" w:leader="none"/>
                <w:tab w:val="left" w:pos="8505" w:leader="none"/>
                <w:tab w:val="left" w:pos="8647" w:leader="none"/>
                <w:tab w:val="left" w:pos="9925" w:leader="none"/>
                <w:tab w:val="left" w:pos="10206" w:leader="none"/>
              </w:tabs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7655" w:leader="none"/>
                <w:tab w:val="left" w:pos="7938" w:leader="none"/>
                <w:tab w:val="left" w:pos="8505" w:leader="none"/>
                <w:tab w:val="left" w:pos="8647" w:leader="none"/>
                <w:tab w:val="left" w:pos="9925" w:leader="none"/>
                <w:tab w:val="left" w:pos="10206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</w:t>
            </w:r>
          </w:p>
          <w:p>
            <w:pPr>
              <w:tabs>
                <w:tab w:val="left" w:pos="7655" w:leader="none"/>
                <w:tab w:val="left" w:pos="7938" w:leader="none"/>
                <w:tab w:val="left" w:pos="8505" w:leader="none"/>
                <w:tab w:val="left" w:pos="8647" w:leader="none"/>
                <w:tab w:val="left" w:pos="9925" w:leader="none"/>
                <w:tab w:val="left" w:pos="10206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</w:t>
            </w:r>
          </w:p>
          <w:p>
            <w:pPr>
              <w:tabs>
                <w:tab w:val="left" w:pos="7655" w:leader="none"/>
                <w:tab w:val="left" w:pos="7938" w:leader="none"/>
                <w:tab w:val="left" w:pos="8505" w:leader="none"/>
                <w:tab w:val="left" w:pos="8647" w:leader="none"/>
                <w:tab w:val="left" w:pos="9925" w:leader="none"/>
                <w:tab w:val="left" w:pos="10206" w:leader="none"/>
              </w:tabs>
              <w:spacing w:before="0" w:after="0" w:line="240"/>
              <w:ind w:right="-109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</w:t>
            </w:r>
          </w:p>
          <w:p>
            <w:pPr>
              <w:tabs>
                <w:tab w:val="left" w:pos="7655" w:leader="none"/>
                <w:tab w:val="left" w:pos="7938" w:leader="none"/>
                <w:tab w:val="left" w:pos="8505" w:leader="none"/>
                <w:tab w:val="left" w:pos="8647" w:leader="none"/>
                <w:tab w:val="left" w:pos="9925" w:leader="none"/>
                <w:tab w:val="left" w:pos="10206" w:leader="none"/>
              </w:tabs>
              <w:spacing w:before="0" w:after="0" w:line="240"/>
              <w:ind w:right="-109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П.А. Дмитриев  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Н.В. Никульшина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(473) 296-93-69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15">
    <w:abstractNumId w:val="36"/>
  </w:num>
  <w:num w:numId="19">
    <w:abstractNumId w:val="30"/>
  </w:num>
  <w:num w:numId="43">
    <w:abstractNumId w:val="24"/>
  </w:num>
  <w:num w:numId="53">
    <w:abstractNumId w:val="18"/>
  </w:num>
  <w:num w:numId="55">
    <w:abstractNumId w:val="12"/>
  </w:num>
  <w:num w:numId="58">
    <w:abstractNumId w:val="6"/>
  </w:num>
  <w:num w:numId="6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media/image2.wmf" Id="docRId5" Type="http://schemas.openxmlformats.org/officeDocument/2006/relationships/image" /><Relationship Target="styles.xml" Id="docRId7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="numbering.xml" Id="docRId6" Type="http://schemas.openxmlformats.org/officeDocument/2006/relationships/numbering" /></Relationships>
</file>