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007C0B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B77A96">
        <w:rPr>
          <w:rFonts w:ascii="Times New Roman" w:eastAsia="Calibri" w:hAnsi="Times New Roman" w:cs="Times New Roman"/>
          <w:sz w:val="24"/>
          <w:szCs w:val="28"/>
        </w:rPr>
        <w:t>19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B77A96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2016 г. № </w:t>
      </w:r>
      <w:r w:rsidR="00B77A96">
        <w:rPr>
          <w:rFonts w:ascii="Times New Roman" w:eastAsia="Calibri" w:hAnsi="Times New Roman" w:cs="Times New Roman"/>
          <w:sz w:val="24"/>
          <w:szCs w:val="28"/>
        </w:rPr>
        <w:t>44-р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с.</w:t>
      </w:r>
      <w:r w:rsidR="00007C0B">
        <w:rPr>
          <w:rFonts w:ascii="Times New Roman" w:eastAsia="Calibri" w:hAnsi="Times New Roman" w:cs="Times New Roman"/>
          <w:sz w:val="24"/>
          <w:szCs w:val="28"/>
        </w:rPr>
        <w:t xml:space="preserve"> Луговое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007C0B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007C0B">
        <w:t>распоряж</w:t>
      </w:r>
      <w:r w:rsidR="00594C40" w:rsidRPr="00FC4B11">
        <w:t>ения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0B" w:rsidRDefault="001970CE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007C0B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07C0B" w:rsidRDefault="00007C0B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1970CE" w:rsidRDefault="00007C0B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</w:t>
      </w:r>
      <w:r w:rsidR="001970CE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007C0B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B77A9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A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96">
        <w:rPr>
          <w:rFonts w:ascii="Times New Roman" w:hAnsi="Times New Roman" w:cs="Times New Roman"/>
          <w:sz w:val="24"/>
          <w:szCs w:val="24"/>
        </w:rPr>
        <w:t>44-р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007C0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007C0B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007C0B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3640100010000776454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07C0B">
              <w:rPr>
                <w:sz w:val="24"/>
              </w:rPr>
              <w:t>администрации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514442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6463E2">
              <w:rPr>
                <w:sz w:val="24"/>
              </w:rPr>
              <w:t xml:space="preserve">от </w:t>
            </w:r>
            <w:r w:rsidR="00007C0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07C0B">
              <w:rPr>
                <w:sz w:val="24"/>
              </w:rPr>
              <w:t>09.</w:t>
            </w:r>
            <w:r w:rsidRPr="006463E2">
              <w:rPr>
                <w:sz w:val="24"/>
              </w:rPr>
              <w:t>20</w:t>
            </w:r>
            <w:r w:rsidR="00007C0B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007C0B">
              <w:rPr>
                <w:sz w:val="24"/>
              </w:rPr>
              <w:t>66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007C0B">
              <w:rPr>
                <w:sz w:val="24"/>
                <w:szCs w:val="24"/>
              </w:rPr>
              <w:t>Луговского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007C0B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553648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C93745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3F2A62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007C0B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07C0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007C0B" w:rsidP="00007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07C0B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07C0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BE003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1C10CE">
              <w:rPr>
                <w:sz w:val="24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007C0B">
              <w:rPr>
                <w:sz w:val="24"/>
                <w:szCs w:val="24"/>
              </w:rPr>
              <w:t>Луговского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007C0B">
              <w:rPr>
                <w:sz w:val="24"/>
                <w:szCs w:val="24"/>
              </w:rPr>
              <w:t xml:space="preserve"> </w:t>
            </w:r>
            <w:proofErr w:type="spellStart"/>
            <w:r w:rsidR="00007C0B">
              <w:rPr>
                <w:sz w:val="24"/>
                <w:szCs w:val="24"/>
              </w:rPr>
              <w:t>Луговского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007C0B">
              <w:rPr>
                <w:sz w:val="24"/>
                <w:szCs w:val="24"/>
              </w:rPr>
              <w:t>Луговского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lastRenderedPageBreak/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007C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F136C3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) с указанием перечня документов и даты их получения, а также с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продления или переоформления (отказе в продлении, переоформлении) разрешения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E003D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 w:rsidR="00007C0B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</w:t>
      </w:r>
      <w:r w:rsidR="0000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0B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007C0B">
        <w:rPr>
          <w:rFonts w:ascii="Times New Roman" w:hAnsi="Times New Roman" w:cs="Times New Roman"/>
          <w:sz w:val="24"/>
          <w:szCs w:val="24"/>
        </w:rPr>
        <w:t>Лугов</w:t>
      </w:r>
      <w:r w:rsidRPr="005A39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="00007C0B">
        <w:rPr>
          <w:rFonts w:ascii="Times New Roman" w:hAnsi="Times New Roman" w:cs="Times New Roman"/>
          <w:sz w:val="24"/>
          <w:szCs w:val="24"/>
        </w:rPr>
        <w:t>Луговс</w:t>
      </w:r>
      <w:r w:rsidRPr="005A39C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07C0B"/>
    <w:rsid w:val="00033C4E"/>
    <w:rsid w:val="00036FCD"/>
    <w:rsid w:val="00081262"/>
    <w:rsid w:val="000A2104"/>
    <w:rsid w:val="000A340B"/>
    <w:rsid w:val="00133F0A"/>
    <w:rsid w:val="00144B31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40B12"/>
    <w:rsid w:val="004625CC"/>
    <w:rsid w:val="004E71F3"/>
    <w:rsid w:val="00503DB8"/>
    <w:rsid w:val="00511169"/>
    <w:rsid w:val="00514442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94FED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77A96"/>
    <w:rsid w:val="00B91BA1"/>
    <w:rsid w:val="00B93323"/>
    <w:rsid w:val="00BD3EEF"/>
    <w:rsid w:val="00BD49B6"/>
    <w:rsid w:val="00BF28F9"/>
    <w:rsid w:val="00C01169"/>
    <w:rsid w:val="00C272A3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ED3732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Lugovov.boguch</cp:lastModifiedBy>
  <cp:revision>98</cp:revision>
  <dcterms:created xsi:type="dcterms:W3CDTF">2016-11-13T09:33:00Z</dcterms:created>
  <dcterms:modified xsi:type="dcterms:W3CDTF">2016-12-16T07:47:00Z</dcterms:modified>
</cp:coreProperties>
</file>