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DC61E6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ЛУГОВСКОГО 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C85760">
        <w:rPr>
          <w:rFonts w:ascii="Times New Roman" w:eastAsia="Calibri" w:hAnsi="Times New Roman" w:cs="Times New Roman"/>
          <w:sz w:val="24"/>
          <w:szCs w:val="28"/>
        </w:rPr>
        <w:t>19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C85760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85760">
        <w:rPr>
          <w:rFonts w:ascii="Times New Roman" w:eastAsia="Calibri" w:hAnsi="Times New Roman" w:cs="Times New Roman"/>
          <w:sz w:val="24"/>
          <w:szCs w:val="28"/>
        </w:rPr>
        <w:t>40-р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F851F8">
        <w:rPr>
          <w:rFonts w:ascii="Times New Roman" w:eastAsia="Calibri" w:hAnsi="Times New Roman" w:cs="Times New Roman"/>
          <w:sz w:val="24"/>
          <w:szCs w:val="28"/>
        </w:rPr>
        <w:t>с.</w:t>
      </w:r>
      <w:r w:rsidR="00DC61E6">
        <w:rPr>
          <w:rFonts w:ascii="Times New Roman" w:eastAsia="Calibri" w:hAnsi="Times New Roman" w:cs="Times New Roman"/>
          <w:sz w:val="24"/>
          <w:szCs w:val="28"/>
        </w:rPr>
        <w:t xml:space="preserve"> Луговое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DC61E6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DC61E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DC61E6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DC61E6" w:rsidRDefault="00F851F8" w:rsidP="00F851F8">
      <w:pPr>
        <w:pStyle w:val="a6"/>
      </w:pPr>
      <w:r>
        <w:t xml:space="preserve">Глава </w:t>
      </w:r>
      <w:r w:rsidR="00DC61E6">
        <w:t xml:space="preserve"> </w:t>
      </w:r>
      <w:proofErr w:type="spellStart"/>
      <w:r w:rsidR="00DC61E6">
        <w:t>Луговского</w:t>
      </w:r>
      <w:proofErr w:type="spellEnd"/>
      <w:r>
        <w:t xml:space="preserve"> сельского поселения</w:t>
      </w:r>
    </w:p>
    <w:p w:rsidR="00DC61E6" w:rsidRDefault="00DC61E6" w:rsidP="00F851F8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F851F8" w:rsidRDefault="00DC61E6" w:rsidP="00F851F8">
      <w:pPr>
        <w:pStyle w:val="a6"/>
        <w:rPr>
          <w:b/>
          <w:bCs/>
        </w:rPr>
      </w:pPr>
      <w:r>
        <w:t xml:space="preserve">Воронежской области </w:t>
      </w:r>
      <w:r w:rsidR="00F851F8">
        <w:t xml:space="preserve">                                        </w:t>
      </w:r>
      <w:r>
        <w:t xml:space="preserve">       </w:t>
      </w:r>
      <w:proofErr w:type="spellStart"/>
      <w:r>
        <w:t>А.И.Ромащенко</w:t>
      </w:r>
      <w:proofErr w:type="spellEnd"/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DC61E6" w:rsidRPr="00651BEF" w:rsidRDefault="00DC61E6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C85760">
        <w:rPr>
          <w:rFonts w:ascii="Times New Roman" w:hAnsi="Times New Roman" w:cs="Times New Roman"/>
          <w:sz w:val="28"/>
        </w:rPr>
        <w:t>19</w:t>
      </w:r>
      <w:r w:rsidR="00047E7A">
        <w:rPr>
          <w:rFonts w:ascii="Times New Roman" w:hAnsi="Times New Roman" w:cs="Times New Roman"/>
          <w:sz w:val="28"/>
        </w:rPr>
        <w:t>.</w:t>
      </w:r>
      <w:r w:rsidR="00C85760">
        <w:rPr>
          <w:rFonts w:ascii="Times New Roman" w:hAnsi="Times New Roman" w:cs="Times New Roman"/>
          <w:sz w:val="28"/>
        </w:rPr>
        <w:t>12.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C85760">
        <w:rPr>
          <w:rFonts w:ascii="Times New Roman" w:hAnsi="Times New Roman" w:cs="Times New Roman"/>
          <w:sz w:val="28"/>
        </w:rPr>
        <w:t>40-р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C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DC61E6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C61E6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3640100010000691762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DC61E6">
              <w:rPr>
                <w:rFonts w:eastAsia="Calibri"/>
                <w:sz w:val="24"/>
                <w:szCs w:val="24"/>
              </w:rPr>
              <w:t>Луговского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DC61E6"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DC61E6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DC61E6">
              <w:rPr>
                <w:rFonts w:eastAsia="Calibri"/>
                <w:sz w:val="24"/>
                <w:szCs w:val="24"/>
              </w:rPr>
              <w:t xml:space="preserve">15 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DC61E6">
              <w:rPr>
                <w:rFonts w:eastAsia="Calibri"/>
                <w:sz w:val="24"/>
                <w:szCs w:val="24"/>
              </w:rPr>
              <w:t xml:space="preserve"> 92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</w:t>
            </w:r>
            <w:r w:rsidR="00DE676C">
              <w:rPr>
                <w:rFonts w:ascii="Times New Roman" w:hAnsi="Times New Roman" w:cs="Times New Roman"/>
              </w:rPr>
              <w:lastRenderedPageBreak/>
              <w:t>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DC61E6">
              <w:rPr>
                <w:rFonts w:ascii="Times New Roman" w:hAnsi="Times New Roman" w:cs="Times New Roman"/>
              </w:rPr>
              <w:t xml:space="preserve"> 12.09.2016 № 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DC6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DC61E6">
              <w:rPr>
                <w:sz w:val="24"/>
              </w:rPr>
              <w:t>Луговского</w:t>
            </w:r>
            <w:proofErr w:type="spellEnd"/>
            <w:r w:rsidR="00DC61E6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DC61E6">
              <w:rPr>
                <w:sz w:val="24"/>
              </w:rPr>
              <w:t>Луговского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отсутствии объекта в реестре муниципального </w:t>
            </w:r>
            <w:r w:rsidRPr="00EE75CD">
              <w:rPr>
                <w:sz w:val="24"/>
              </w:rPr>
              <w:lastRenderedPageBreak/>
              <w:t>имущества</w:t>
            </w:r>
          </w:p>
        </w:tc>
        <w:tc>
          <w:tcPr>
            <w:tcW w:w="2732" w:type="dxa"/>
          </w:tcPr>
          <w:p w:rsidR="00EE75CD" w:rsidRDefault="00EE75CD" w:rsidP="006A7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</w:t>
            </w:r>
            <w:r>
              <w:rPr>
                <w:rFonts w:ascii="Times New Roman" w:hAnsi="Times New Roman"/>
              </w:rPr>
              <w:lastRenderedPageBreak/>
              <w:t>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A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A75A1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6A75A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A75A1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DC61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  <w:sz w:val="24"/>
              </w:rPr>
              <w:t>Луговского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proofErr w:type="spellStart"/>
            <w:r w:rsidR="00DC61E6">
              <w:rPr>
                <w:sz w:val="24"/>
                <w:szCs w:val="24"/>
              </w:rPr>
              <w:t>Луговского</w:t>
            </w:r>
            <w:proofErr w:type="spellEnd"/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DC61E6" w:rsidP="00713BA9">
      <w:pPr>
        <w:pStyle w:val="a6"/>
        <w:jc w:val="right"/>
        <w:rPr>
          <w:sz w:val="32"/>
        </w:rPr>
      </w:pPr>
      <w:proofErr w:type="spellStart"/>
      <w:r>
        <w:t>Луговского</w:t>
      </w:r>
      <w:proofErr w:type="spellEnd"/>
      <w:r>
        <w:t xml:space="preserve">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C61E6">
        <w:rPr>
          <w:rFonts w:ascii="Times New Roman" w:hAnsi="Times New Roman" w:cs="Times New Roman"/>
          <w:sz w:val="28"/>
          <w:szCs w:val="24"/>
        </w:rPr>
        <w:t>Луговского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A0922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1D30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85760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C61E6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0B19-FC8B-4D73-A825-31375C5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18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703</cp:revision>
  <cp:lastPrinted>2016-02-04T08:14:00Z</cp:lastPrinted>
  <dcterms:created xsi:type="dcterms:W3CDTF">2015-09-10T10:47:00Z</dcterms:created>
  <dcterms:modified xsi:type="dcterms:W3CDTF">2016-12-12T15:40:00Z</dcterms:modified>
</cp:coreProperties>
</file>