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0321A0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МЕДОВСКОГО</w:t>
      </w:r>
      <w:r w:rsidR="00766E33"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>от «</w:t>
      </w:r>
      <w:r w:rsidR="000321A0">
        <w:rPr>
          <w:rFonts w:ascii="Times New Roman" w:eastAsia="Calibri" w:hAnsi="Times New Roman" w:cs="Times New Roman"/>
          <w:sz w:val="24"/>
          <w:szCs w:val="28"/>
        </w:rPr>
        <w:t>22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0321A0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 w:rsidRPr="00EE3D32">
        <w:rPr>
          <w:rFonts w:ascii="Times New Roman" w:eastAsia="Calibri" w:hAnsi="Times New Roman" w:cs="Times New Roman"/>
          <w:sz w:val="24"/>
          <w:szCs w:val="28"/>
        </w:rPr>
        <w:t>6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FD2CAE">
        <w:rPr>
          <w:rFonts w:ascii="Times New Roman" w:eastAsia="Calibri" w:hAnsi="Times New Roman" w:cs="Times New Roman"/>
          <w:sz w:val="24"/>
          <w:szCs w:val="28"/>
        </w:rPr>
        <w:t>35-р</w:t>
      </w: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="000321A0">
        <w:rPr>
          <w:rFonts w:ascii="Times New Roman" w:eastAsia="Calibri" w:hAnsi="Times New Roman" w:cs="Times New Roman"/>
          <w:sz w:val="24"/>
          <w:szCs w:val="28"/>
        </w:rPr>
        <w:t>п</w:t>
      </w:r>
      <w:proofErr w:type="gramStart"/>
      <w:r w:rsidR="000321A0">
        <w:rPr>
          <w:rFonts w:ascii="Times New Roman" w:eastAsia="Calibri" w:hAnsi="Times New Roman" w:cs="Times New Roman"/>
          <w:sz w:val="24"/>
          <w:szCs w:val="28"/>
        </w:rPr>
        <w:t>.Д</w:t>
      </w:r>
      <w:proofErr w:type="gramEnd"/>
      <w:r w:rsidR="000321A0">
        <w:rPr>
          <w:rFonts w:ascii="Times New Roman" w:eastAsia="Calibri" w:hAnsi="Times New Roman" w:cs="Times New Roman"/>
          <w:sz w:val="24"/>
          <w:szCs w:val="28"/>
        </w:rPr>
        <w:t>убрава</w:t>
      </w:r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0321A0">
        <w:rPr>
          <w:rFonts w:ascii="Times New Roman" w:eastAsia="Calibri" w:hAnsi="Times New Roman" w:cs="Times New Roman"/>
          <w:sz w:val="28"/>
        </w:rPr>
        <w:t xml:space="preserve">Медовского 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321A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EE3D32" w:rsidRDefault="00651BEF" w:rsidP="002068E3">
      <w:pPr>
        <w:spacing w:after="0" w:line="240" w:lineRule="auto"/>
        <w:rPr>
          <w:kern w:val="2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0321A0">
        <w:rPr>
          <w:rFonts w:ascii="Times New Roman" w:eastAsia="Calibri" w:hAnsi="Times New Roman" w:cs="Times New Roman"/>
          <w:bCs/>
          <w:sz w:val="28"/>
        </w:rPr>
        <w:t xml:space="preserve"> Медовского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</w:t>
      </w:r>
      <w:r w:rsidR="000321A0">
        <w:rPr>
          <w:rFonts w:ascii="Times New Roman" w:eastAsia="Calibri" w:hAnsi="Times New Roman" w:cs="Times New Roman"/>
          <w:bCs/>
          <w:sz w:val="28"/>
        </w:rPr>
        <w:t>С.В.Чупраков</w:t>
      </w: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D2CAE" w:rsidRPr="00EE3D32" w:rsidRDefault="00FD2CA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0321A0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Медовского</w:t>
      </w:r>
      <w:r w:rsidR="00766E33"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EE3D32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5B3D6F">
        <w:rPr>
          <w:rFonts w:ascii="Times New Roman" w:hAnsi="Times New Roman" w:cs="Times New Roman"/>
          <w:sz w:val="24"/>
          <w:szCs w:val="24"/>
        </w:rPr>
        <w:t xml:space="preserve"> </w:t>
      </w:r>
      <w:r w:rsidR="000321A0">
        <w:rPr>
          <w:rFonts w:ascii="Times New Roman" w:hAnsi="Times New Roman" w:cs="Times New Roman"/>
          <w:sz w:val="24"/>
          <w:szCs w:val="24"/>
        </w:rPr>
        <w:t>22.12.</w:t>
      </w:r>
      <w:r w:rsidRPr="00EE3D32">
        <w:rPr>
          <w:rFonts w:ascii="Times New Roman" w:hAnsi="Times New Roman" w:cs="Times New Roman"/>
          <w:sz w:val="24"/>
          <w:szCs w:val="24"/>
        </w:rPr>
        <w:t>201</w:t>
      </w:r>
      <w:r w:rsidR="007D47C5" w:rsidRPr="00EE3D32">
        <w:rPr>
          <w:rFonts w:ascii="Times New Roman" w:hAnsi="Times New Roman" w:cs="Times New Roman"/>
          <w:sz w:val="24"/>
          <w:szCs w:val="24"/>
        </w:rPr>
        <w:t>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 </w:t>
      </w:r>
      <w:r w:rsidR="00FD2CAE">
        <w:rPr>
          <w:rFonts w:ascii="Times New Roman" w:hAnsi="Times New Roman" w:cs="Times New Roman"/>
          <w:sz w:val="24"/>
          <w:szCs w:val="24"/>
        </w:rPr>
        <w:t>35-р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03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321A0">
              <w:rPr>
                <w:rFonts w:ascii="Times New Roman" w:hAnsi="Times New Roman" w:cs="Times New Roman"/>
                <w:sz w:val="24"/>
                <w:szCs w:val="24"/>
              </w:rPr>
              <w:t>Медовского</w:t>
            </w:r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0321A0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3640100010000769458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170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0321A0">
              <w:rPr>
                <w:rFonts w:eastAsia="Calibri"/>
                <w:sz w:val="24"/>
              </w:rPr>
              <w:t xml:space="preserve">администрации Медовского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  <w:szCs w:val="10"/>
              </w:rPr>
            </w:pP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0321A0">
              <w:rPr>
                <w:sz w:val="24"/>
                <w:szCs w:val="10"/>
              </w:rPr>
              <w:t>от 19.01.2015 №6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«</w:t>
            </w:r>
            <w:r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>
              <w:rPr>
                <w:sz w:val="24"/>
              </w:rPr>
              <w:t>___.______</w:t>
            </w:r>
            <w:r w:rsidRPr="006463E2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6463E2">
              <w:rPr>
                <w:sz w:val="24"/>
              </w:rPr>
              <w:t xml:space="preserve"> г. № </w:t>
            </w:r>
            <w:r>
              <w:rPr>
                <w:sz w:val="24"/>
              </w:rPr>
              <w:t>____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4A35E9">
          <w:pgSz w:w="11906" w:h="16838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032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032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0321A0">
            <w:pPr>
              <w:pStyle w:val="ConsPlusNormal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0321A0">
            <w:pPr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неоговоренные заявителем зачеркивания, исправления, подчистки.</w:t>
            </w:r>
          </w:p>
          <w:p w:rsidR="0073297F" w:rsidRPr="00EE3D32" w:rsidRDefault="0073297F" w:rsidP="00032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0321A0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0321A0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восьмого подпункта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2.8.1 возложена на заявителя;</w:t>
            </w:r>
          </w:p>
          <w:p w:rsidR="00963F4D" w:rsidRPr="00963F4D" w:rsidRDefault="00963F4D" w:rsidP="000321A0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проведения переустройст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направления уведомления;</w:t>
            </w:r>
          </w:p>
          <w:p w:rsidR="00963F4D" w:rsidRPr="00963F4D" w:rsidRDefault="00963F4D" w:rsidP="000321A0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0321A0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r w:rsidR="000321A0">
              <w:rPr>
                <w:rFonts w:eastAsia="Calibri"/>
                <w:sz w:val="24"/>
              </w:rPr>
              <w:t xml:space="preserve">Медовского </w:t>
            </w:r>
            <w:r w:rsidRPr="00AF0940">
              <w:rPr>
                <w:rFonts w:eastAsia="Calibri"/>
                <w:sz w:val="24"/>
              </w:rPr>
              <w:t>сельского поселения</w:t>
            </w:r>
            <w:r w:rsidRPr="00AF0940">
              <w:rPr>
                <w:sz w:val="24"/>
                <w:szCs w:val="24"/>
              </w:rPr>
              <w:t xml:space="preserve"> Богучарского муниципального района (лично, через законного </w:t>
            </w:r>
            <w:r w:rsidRPr="00AF0940">
              <w:rPr>
                <w:sz w:val="24"/>
                <w:szCs w:val="24"/>
              </w:rPr>
              <w:lastRenderedPageBreak/>
              <w:t>представителя);</w:t>
            </w:r>
          </w:p>
          <w:p w:rsidR="0073297F" w:rsidRPr="00AF0940" w:rsidRDefault="00AF09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0321A0">
              <w:rPr>
                <w:rFonts w:ascii="Times New Roman" w:hAnsi="Times New Roman" w:cs="Times New Roman"/>
                <w:sz w:val="24"/>
                <w:szCs w:val="24"/>
              </w:rPr>
              <w:t>01.07.2015 №1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6A5" w:rsidRPr="00AD4B06" w:rsidRDefault="004F46A5" w:rsidP="000321A0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r w:rsidR="000321A0">
              <w:rPr>
                <w:rFonts w:eastAsia="Calibri"/>
                <w:sz w:val="24"/>
              </w:rPr>
              <w:t>Медовского</w:t>
            </w:r>
            <w:r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 муниципального района;</w:t>
            </w:r>
          </w:p>
          <w:p w:rsidR="004F46A5" w:rsidRPr="00AD4B06" w:rsidRDefault="004F46A5" w:rsidP="000321A0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0321A0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251D7D" w:rsidRDefault="00251D7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0321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0321A0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0321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0321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321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0321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0321A0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0321A0">
            <w:pPr>
              <w:pStyle w:val="a6"/>
              <w:jc w:val="both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0321A0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0321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DC255F" w:rsidRDefault="00DC255F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0321A0">
            <w:pPr>
              <w:pStyle w:val="a6"/>
              <w:jc w:val="both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0321A0">
            <w:pPr>
              <w:jc w:val="both"/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321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0831B1" w:rsidRPr="00B94E1B" w:rsidRDefault="000831B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AB4C11" w:rsidRDefault="000831B1" w:rsidP="000321A0">
            <w:pPr>
              <w:pStyle w:val="a6"/>
              <w:jc w:val="both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E6289A" w:rsidRPr="00EE3D32" w:rsidRDefault="00E6289A" w:rsidP="000321A0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0321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0321A0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0321A0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0321A0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0321A0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0321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0321A0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0321A0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0321A0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0321A0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270" w:type="dxa"/>
          </w:tcPr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0321A0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0321A0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0321A0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0321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0321A0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0321A0">
              <w:rPr>
                <w:sz w:val="24"/>
              </w:rPr>
              <w:t>Медовского</w:t>
            </w:r>
          </w:p>
          <w:p w:rsidR="004E5D3C" w:rsidRPr="00DD6465" w:rsidRDefault="004E5D3C" w:rsidP="000321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0321A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недвижимое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4E5D3C" w:rsidP="000321A0">
            <w:pPr>
              <w:pStyle w:val="a6"/>
              <w:jc w:val="both"/>
              <w:rPr>
                <w:sz w:val="24"/>
              </w:rPr>
            </w:pPr>
            <w:r w:rsidRPr="00005D6D">
              <w:rPr>
                <w:sz w:val="24"/>
              </w:rPr>
              <w:lastRenderedPageBreak/>
              <w:t xml:space="preserve">Администрация </w:t>
            </w:r>
            <w:r w:rsidR="000321A0">
              <w:rPr>
                <w:sz w:val="24"/>
              </w:rPr>
              <w:t>Медовского</w:t>
            </w:r>
          </w:p>
          <w:p w:rsidR="004E5D3C" w:rsidRPr="00EE3D32" w:rsidRDefault="004E5D3C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Богучарский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0321A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0321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0321A0">
            <w:pPr>
              <w:pStyle w:val="a6"/>
              <w:jc w:val="both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r w:rsidR="000321A0">
              <w:rPr>
                <w:sz w:val="24"/>
              </w:rPr>
              <w:t>Медовского</w:t>
            </w:r>
          </w:p>
          <w:p w:rsidR="004E5D3C" w:rsidRPr="00897195" w:rsidRDefault="004E5D3C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0321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0321A0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0321A0">
              <w:rPr>
                <w:rFonts w:eastAsia="Calibri"/>
                <w:sz w:val="24"/>
              </w:rPr>
              <w:t>Медовского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0130C2" w:rsidRPr="007B6938" w:rsidRDefault="000130C2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0321A0">
              <w:rPr>
                <w:sz w:val="24"/>
                <w:szCs w:val="24"/>
              </w:rPr>
              <w:t>Медовского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0130C2" w:rsidRPr="007B6938" w:rsidRDefault="000130C2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0321A0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0130C2" w:rsidRPr="007B6938" w:rsidRDefault="000130C2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датируется (число, месяц, год</w:t>
            </w:r>
            <w:proofErr w:type="gramStart"/>
            <w:r w:rsidRPr="007B6938">
              <w:rPr>
                <w:sz w:val="24"/>
                <w:szCs w:val="24"/>
              </w:rPr>
              <w:t xml:space="preserve">,); </w:t>
            </w:r>
            <w:proofErr w:type="gramEnd"/>
          </w:p>
          <w:p w:rsidR="000130C2" w:rsidRDefault="000130C2" w:rsidP="000321A0">
            <w:pPr>
              <w:jc w:val="both"/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03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0321A0">
            <w:pPr>
              <w:jc w:val="both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0321A0">
            <w:pPr>
              <w:jc w:val="both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 на бума</w:t>
            </w:r>
            <w:r w:rsidR="000321A0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жном носителе в  администрации Медовского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сельского поселения Богучарского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0321A0">
            <w:pPr>
              <w:pStyle w:val="ab"/>
              <w:spacing w:after="0"/>
              <w:ind w:left="0"/>
              <w:jc w:val="both"/>
            </w:pPr>
            <w:r>
              <w:t xml:space="preserve">Мотивированный отказ в выдаче </w:t>
            </w:r>
            <w:r w:rsidRPr="007D187D">
              <w:t xml:space="preserve"> </w:t>
            </w:r>
            <w:r>
              <w:lastRenderedPageBreak/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посредством </w:t>
            </w:r>
            <w:r w:rsidRPr="007B6938">
              <w:rPr>
                <w:sz w:val="24"/>
                <w:szCs w:val="24"/>
              </w:rPr>
              <w:lastRenderedPageBreak/>
              <w:t xml:space="preserve">информационной системы администрации </w:t>
            </w:r>
            <w:r w:rsidR="000321A0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D83D55" w:rsidRDefault="000130C2" w:rsidP="000321A0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</w:p>
          <w:p w:rsidR="000130C2" w:rsidRPr="00EE3D32" w:rsidRDefault="00D83D55" w:rsidP="000321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Медовского</w:t>
            </w:r>
            <w:r w:rsidR="000130C2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0130C2" w:rsidRPr="007B6938">
              <w:rPr>
                <w:sz w:val="24"/>
                <w:szCs w:val="24"/>
              </w:rPr>
              <w:t xml:space="preserve"> Бог</w:t>
            </w:r>
            <w:r>
              <w:rPr>
                <w:sz w:val="24"/>
                <w:szCs w:val="24"/>
              </w:rPr>
              <w:t xml:space="preserve">учарского муниципального района </w:t>
            </w:r>
            <w:r w:rsidR="000130C2" w:rsidRPr="007B6938">
              <w:rPr>
                <w:sz w:val="24"/>
                <w:szCs w:val="24"/>
              </w:rPr>
              <w:t xml:space="preserve">ставится печать администрации </w:t>
            </w:r>
            <w:r>
              <w:rPr>
                <w:sz w:val="24"/>
                <w:szCs w:val="24"/>
              </w:rPr>
              <w:t>Медовского</w:t>
            </w:r>
            <w:r w:rsidR="000130C2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0130C2" w:rsidRPr="007B6938">
              <w:rPr>
                <w:sz w:val="24"/>
                <w:szCs w:val="24"/>
              </w:rPr>
              <w:t xml:space="preserve"> Бог</w:t>
            </w:r>
            <w:r w:rsidR="000130C2">
              <w:rPr>
                <w:sz w:val="24"/>
                <w:szCs w:val="24"/>
              </w:rPr>
              <w:t xml:space="preserve">учарского муниципального района, </w:t>
            </w:r>
            <w:r w:rsidR="000130C2" w:rsidRPr="007B6938">
              <w:rPr>
                <w:sz w:val="24"/>
                <w:szCs w:val="24"/>
              </w:rPr>
              <w:t>д</w:t>
            </w:r>
            <w:r w:rsidR="000130C2">
              <w:rPr>
                <w:sz w:val="24"/>
                <w:szCs w:val="24"/>
              </w:rPr>
              <w:t>атируется (число, месяц, год),</w:t>
            </w:r>
            <w:r w:rsidR="000130C2" w:rsidRPr="004F09D8">
              <w:rPr>
                <w:sz w:val="24"/>
                <w:szCs w:val="24"/>
              </w:rPr>
              <w:t xml:space="preserve"> </w:t>
            </w:r>
            <w:r w:rsidR="000130C2">
              <w:rPr>
                <w:sz w:val="24"/>
                <w:szCs w:val="24"/>
              </w:rPr>
              <w:t>п</w:t>
            </w:r>
            <w:r w:rsidR="000130C2"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03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0321A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0321A0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Медовского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поселения Богучарского муниципального района;</w:t>
            </w:r>
          </w:p>
          <w:p w:rsidR="000130C2" w:rsidRDefault="000130C2" w:rsidP="000321A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0321A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0321A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D83D55" w:rsidRDefault="00D83D55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D83D55" w:rsidRDefault="00D83D55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D8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2. При личном обращении заявителя или уполномоченного представителя в администрацию или в МФЦ должностное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лицо, уполномоченное на прием документов: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D8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D83D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D83D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D8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</w:t>
            </w:r>
            <w:r w:rsidRPr="006D49FF">
              <w:rPr>
                <w:sz w:val="24"/>
                <w:lang w:eastAsia="ru-RU"/>
              </w:rPr>
              <w:lastRenderedPageBreak/>
              <w:t>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</w:t>
            </w:r>
            <w:r w:rsidRPr="006D49FF">
              <w:rPr>
                <w:sz w:val="24"/>
                <w:lang w:eastAsia="ru-RU"/>
              </w:rPr>
              <w:lastRenderedPageBreak/>
              <w:t>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 xml:space="preserve">Выдача </w:t>
            </w:r>
            <w:r w:rsidRPr="00345ABC">
              <w:rPr>
                <w:sz w:val="24"/>
                <w:lang w:eastAsia="ru-RU"/>
              </w:rPr>
              <w:lastRenderedPageBreak/>
              <w:t>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</w:t>
            </w:r>
            <w:r w:rsidRPr="008B078D">
              <w:rPr>
                <w:sz w:val="24"/>
                <w:lang w:eastAsia="ru-RU"/>
              </w:rPr>
              <w:t xml:space="preserve">Основанием для начала административной процедуры по </w:t>
            </w:r>
            <w:r w:rsidRPr="008B078D">
              <w:rPr>
                <w:sz w:val="24"/>
                <w:lang w:eastAsia="ru-RU"/>
              </w:rPr>
              <w:lastRenderedPageBreak/>
              <w:t>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</w:t>
            </w:r>
            <w:r>
              <w:rPr>
                <w:rFonts w:ascii="Times New Roman" w:hAnsi="Times New Roman" w:cs="Times New Roman"/>
              </w:rPr>
              <w:lastRenderedPageBreak/>
              <w:t>специалистов 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1A4A97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685B66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_________________________________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Режим производства ремонтно-строительных работ с ________ </w:t>
      </w:r>
      <w:proofErr w:type="gramStart"/>
      <w:r w:rsidRPr="00F67279">
        <w:rPr>
          <w:rFonts w:ascii="Times New Roman" w:hAnsi="Times New Roman" w:cs="Times New Roman"/>
        </w:rPr>
        <w:t>по</w:t>
      </w:r>
      <w:proofErr w:type="gramEnd"/>
      <w:r w:rsidRPr="00F67279">
        <w:rPr>
          <w:rFonts w:ascii="Times New Roman" w:hAnsi="Times New Roman" w:cs="Times New Roman"/>
        </w:rPr>
        <w:t xml:space="preserve">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r w:rsidRPr="005835B4">
        <w:rPr>
          <w:rFonts w:ascii="Times New Roman" w:hAnsi="Times New Roman" w:cs="Times New Roman"/>
          <w:sz w:val="24"/>
        </w:rPr>
        <w:t xml:space="preserve">__________ сельского поселения </w:t>
      </w:r>
      <w:r w:rsidRPr="005835B4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321A0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1390A"/>
    <w:rsid w:val="00421166"/>
    <w:rsid w:val="00432205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56FA2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3D5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2CAE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88E6-1EB7-41A5-B747-F03B1ECC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32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166</cp:revision>
  <cp:lastPrinted>2016-05-18T07:00:00Z</cp:lastPrinted>
  <dcterms:created xsi:type="dcterms:W3CDTF">2016-01-29T06:33:00Z</dcterms:created>
  <dcterms:modified xsi:type="dcterms:W3CDTF">2016-12-21T10:50:00Z</dcterms:modified>
</cp:coreProperties>
</file>