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83" w:rsidRPr="00EE2783" w:rsidRDefault="00EE2783" w:rsidP="00EE27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3042"/>
      <w:bookmarkStart w:id="1" w:name="_Toc277842804"/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НАРОДНЫХ ДЕПУТАТОВ                   </w:t>
      </w:r>
    </w:p>
    <w:p w:rsidR="00EE2783" w:rsidRPr="00EE2783" w:rsidRDefault="00EE2783" w:rsidP="00EE27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СУХОДОНЕЦОГО СЕЛЬСКОГО ПОСЕЛЕНИЯ</w:t>
      </w:r>
    </w:p>
    <w:p w:rsidR="00EE2783" w:rsidRPr="00EE2783" w:rsidRDefault="00EE2783" w:rsidP="00EE27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EE2783" w:rsidRPr="00EE2783" w:rsidRDefault="00EE2783" w:rsidP="00EE278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EE2783" w:rsidRPr="00EE2783" w:rsidRDefault="00EE2783" w:rsidP="00EE278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E2783" w:rsidRPr="00EE2783" w:rsidRDefault="00EE2783" w:rsidP="00EE2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>от «19» декабря 2013 г. № 168</w:t>
      </w:r>
    </w:p>
    <w:p w:rsidR="00EE2783" w:rsidRPr="00EE2783" w:rsidRDefault="00EE2783" w:rsidP="00EE27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 xml:space="preserve">           с. Сухой Донец</w:t>
      </w:r>
    </w:p>
    <w:p w:rsidR="00EE2783" w:rsidRPr="00EE2783" w:rsidRDefault="00EE2783" w:rsidP="00EE27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E27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 местных нормативах градостроительного проектирования «Планировка жилых, общественно-деловых и рекреационных</w:t>
      </w:r>
      <w:bookmarkStart w:id="2" w:name="_GoBack"/>
      <w:bookmarkEnd w:id="2"/>
      <w:r w:rsidRPr="00EE27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8"/>
          <w:kern w:val="28"/>
          <w:sz w:val="32"/>
          <w:szCs w:val="32"/>
          <w:lang w:eastAsia="ru-RU"/>
        </w:rPr>
      </w:pPr>
      <w:r w:rsidRPr="00EE278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зон </w:t>
      </w:r>
      <w:r w:rsidRPr="00EE2783">
        <w:rPr>
          <w:rFonts w:ascii="Arial" w:eastAsia="Times New Roman" w:hAnsi="Arial" w:cs="Arial"/>
          <w:b/>
          <w:bCs/>
          <w:spacing w:val="-8"/>
          <w:kern w:val="28"/>
          <w:sz w:val="32"/>
          <w:szCs w:val="32"/>
          <w:lang w:eastAsia="ru-RU"/>
        </w:rPr>
        <w:t xml:space="preserve"> Суходонецкого поселения»</w:t>
      </w: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 xml:space="preserve">(в редакции решения от 22.04.2016 № 63) 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Суходонецкого поселения, решением Совета народных депутатов Суходонецкого  поселения от 12.11.2013 № 159 «Об утверждении Положения о местных нормативах градостроительного проектирования Суходонецкого поселения Богучарского муниципального района Воронежской области», Совет народных депутатов Суходонецкого  сельского поселения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Суходонецкого поселения Богучарского муниципального района Воронежской области согласно приложению.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 Обнародовать настоящее решение на территории Суходонецкого  поселения 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решения возложить на главу Суходонецкого сельского поселения Гридневу Н.Д..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>Глава  Суходонецкого сельского поселения                                                      Н.Д. Гриднева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>Суходонецкого  сельского поселения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sz w:val="24"/>
          <w:szCs w:val="24"/>
          <w:lang w:eastAsia="ru-RU"/>
        </w:rPr>
        <w:t>от 19.12.2013 № 168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63)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bookmarkEnd w:id="1"/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«Планировка жилых, общественно-деловых и 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рекреационных зон Суходонецкого  сельского  поселения»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7322"/>
        <w:gridCol w:w="1356"/>
      </w:tblGrid>
      <w:tr w:rsidR="00EE2783" w:rsidRPr="00EE2783" w:rsidTr="00EE2783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Стр.</w:t>
            </w:r>
          </w:p>
        </w:tc>
      </w:tr>
      <w:tr w:rsidR="00EE2783" w:rsidRPr="00EE2783" w:rsidTr="00EE2783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3-4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5-12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iCs/>
                <w:sz w:val="24"/>
                <w:szCs w:val="24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13-18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19-31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32-38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39-46</w:t>
            </w:r>
          </w:p>
        </w:tc>
      </w:tr>
      <w:tr w:rsidR="00EE2783" w:rsidRPr="00EE2783" w:rsidTr="00EE2783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</w:tr>
      <w:tr w:rsidR="00EE2783" w:rsidRPr="00EE2783" w:rsidTr="00EE2783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48-51</w:t>
            </w:r>
          </w:p>
        </w:tc>
      </w:tr>
      <w:tr w:rsidR="00EE2783" w:rsidRPr="00EE2783" w:rsidTr="00EE2783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sz w:val="24"/>
                <w:szCs w:val="24"/>
              </w:rPr>
              <w:t>52-65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783" w:rsidRPr="00EE2783" w:rsidRDefault="00EE2783" w:rsidP="00EE27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3" w:name="_Toc297163323"/>
      <w:r w:rsidRPr="00EE2783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1.1. Назначение и область применения</w:t>
      </w:r>
      <w:bookmarkEnd w:id="3"/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Суходонецкого  сельского поселения» (далее – нормативы) разработаны в соответствии с законодательством Российской Федерации, Воронежской области и Суходонецкого  сельского поселения и распространяются на планировку, застройку и реконструкцию территории Суходонецкого  поселения (далее – поселение) в пределах его границ.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1.1.4.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4" w:name="_Toc297163324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1.2. </w:t>
      </w:r>
      <w:r w:rsidRPr="00EE2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4"/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15.10.2004 года № 63-03 «Об  установлении  границ, наделении   соответствующим  статусом, определении  административных  центров отдельных  муниципальных образований Воронежской  области»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поселения расположено 3 населенных пункта, в том числе: село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Сухой  Донец – административный центр поселения, с. Белая Горка 1-я, с. Белая Горка 2-я.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_Toc280183914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зонирование территории Суходонецкого 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bookmarkEnd w:id="5"/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E2783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таблица1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45"/>
        <w:gridCol w:w="236"/>
        <w:gridCol w:w="1545"/>
        <w:gridCol w:w="1477"/>
        <w:gridCol w:w="1470"/>
        <w:gridCol w:w="236"/>
      </w:tblGrid>
      <w:tr w:rsidR="00EE2783" w:rsidRPr="00EE2783" w:rsidTr="00EE2783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E2783" w:rsidRPr="00EE2783" w:rsidTr="00EE2783">
        <w:trPr>
          <w:trHeight w:hRule="exact" w:val="1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E2783" w:rsidRPr="00EE2783" w:rsidTr="00EE2783">
        <w:trPr>
          <w:trHeight w:hRule="exact" w:val="93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Суходонецкое с/поселение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  с. Сухой  Донец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398,5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398,5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793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0,830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с .Белая Горка 1-я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127,5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132,7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    с.Белая Горка 2-я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50,1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0,011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  <w:t xml:space="preserve">   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783" w:rsidRPr="00EE2783" w:rsidTr="00EE2783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</w:t>
      </w:r>
    </w:p>
    <w:tbl>
      <w:tblPr>
        <w:tblW w:w="5000" w:type="pct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871"/>
        <w:gridCol w:w="6474"/>
      </w:tblGrid>
      <w:tr w:rsidR="00EE2783" w:rsidRPr="00EE2783" w:rsidTr="00EE2783">
        <w:trPr>
          <w:trHeight w:val="284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Население (тыс. человек)</w:t>
            </w:r>
          </w:p>
        </w:tc>
      </w:tr>
      <w:tr w:rsidR="00EE2783" w:rsidRPr="00EE2783" w:rsidTr="00EE278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сельские населенные</w:t>
            </w:r>
          </w:p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пункты</w:t>
            </w:r>
          </w:p>
        </w:tc>
      </w:tr>
      <w:tr w:rsidR="00EE2783" w:rsidRPr="00EE2783" w:rsidTr="00EE2783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3 до 5</w:t>
            </w:r>
          </w:p>
        </w:tc>
      </w:tr>
      <w:tr w:rsidR="00EE2783" w:rsidRPr="00EE2783" w:rsidTr="00EE2783">
        <w:trPr>
          <w:trHeight w:val="227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1 до 3</w:t>
            </w:r>
          </w:p>
        </w:tc>
      </w:tr>
      <w:tr w:rsidR="00EE2783" w:rsidRPr="00EE2783" w:rsidTr="00EE2783">
        <w:trPr>
          <w:trHeight w:val="227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0,2 до 1</w:t>
            </w:r>
          </w:p>
        </w:tc>
      </w:tr>
      <w:tr w:rsidR="00EE2783" w:rsidRPr="00EE2783" w:rsidTr="00EE2783">
        <w:trPr>
          <w:trHeight w:val="227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0,05 до 0,2</w:t>
            </w:r>
          </w:p>
        </w:tc>
      </w:tr>
      <w:tr w:rsidR="00EE2783" w:rsidRPr="00EE2783" w:rsidTr="00EE278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0,05</w:t>
            </w:r>
          </w:p>
        </w:tc>
      </w:tr>
      <w:tr w:rsidR="00EE2783" w:rsidRPr="00EE2783" w:rsidTr="00EE2783">
        <w:trPr>
          <w:trHeight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расположено  2 объекта культурного наследия, в том числе 0 объектов культурного наследия (памятников истории и культуры) на кладбище.  Архитектурно-строительное проектирование, строительство, реконструкция, капитальный ремонт объектов капитального строительства, являющихся объектами культурного наследия, осуществляются с учетом требований законодательства в области охраны объектов культурного наследия.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1.2.3.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реконструкции в исторически сложившейся части села (хуторов) 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1.2.4.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создания среды жизнедеятельности, доступной для инвалидов и мало 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 мобильных групп населения на территории Воронежской области».</w:t>
      </w: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2"/>
          <w:sz w:val="24"/>
          <w:szCs w:val="24"/>
          <w:lang w:eastAsia="ru-RU"/>
        </w:rPr>
      </w:pPr>
      <w:bookmarkStart w:id="6" w:name="_Toc297163325"/>
      <w:r w:rsidRPr="00EE2783">
        <w:rPr>
          <w:rFonts w:ascii="Arial" w:eastAsia="Times New Roman" w:hAnsi="Arial" w:cs="Arial"/>
          <w:b/>
          <w:color w:val="000000"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6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_Toc297163326"/>
      <w:r w:rsidRPr="00EE2783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2.1. Общие требования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bookmarkEnd w:id="7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состав жилых зон могут включаться: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зона застройки индивидуальными жилыми домами с приусадебными земельными участками (до 3 этажей).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человека;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человека).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2.1.6.</w:t>
      </w:r>
      <w:r w:rsidRPr="00EE27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22 июля 2008 г. № 123-ФЗ «Технический регламент о требованиях пожарной безопасности»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СНиП 21-01-97*, СНиП 31-01-2003, СНиП 31-05-2003*, СНиП 21-02-99*,  в том числе: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самостоятельные шахты для вентиляции;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EE27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В том числе: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магазины по продаже ковровых изделий, автозапчастей, шин и автомобильных масел;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специализированные рыбные;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с режимом функционирования после 23 часов;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бани и сауны;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дискотеки;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75 кг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смену);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общественные уборные;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похоронные бюро;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склады оптовой (или мелкооптовой) торговли;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зуботехнические лаборатории;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2.1.9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нормативов.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8" w:name="_Toc297163327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8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секционные малоэтажные жилые дома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2.2.2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Предельно допустимые значения коэффициента использования </w:t>
      </w: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территории участка жилой застройки для различных типов малоэтажного строительства приведены в рекомендуемой таблице </w:t>
      </w:r>
      <w:r w:rsidRPr="00EE27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  <w:r w:rsidRPr="00EE278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E278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Таблица </w:t>
      </w:r>
      <w:r w:rsidRPr="00EE27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EE2783" w:rsidRPr="00EE2783" w:rsidTr="00EE2783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Коэффициент использования  территории, не более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12 метров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(заверяется нотариально) составляет не менее: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1,0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- для одноэтажного жилого дома;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1,5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- для двухэтажного жилого дома;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2,0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2.2.4</w:t>
      </w:r>
      <w:r w:rsidRPr="00EE2783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.</w:t>
      </w: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12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EE2783">
          <w:rPr>
            <w:rFonts w:ascii="Arial" w:eastAsia="Calibri" w:hAnsi="Arial" w:cs="Arial"/>
            <w:color w:val="000000"/>
            <w:sz w:val="24"/>
            <w:szCs w:val="24"/>
            <w:lang w:eastAsia="ru-RU"/>
          </w:rPr>
          <w:t>8 м</w:t>
        </w:r>
      </w:smartTag>
      <w:r w:rsidRPr="00EE2783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EE2783">
          <w:rPr>
            <w:rFonts w:ascii="Arial" w:eastAsia="Times New Roman" w:hAnsi="Arial" w:cs="Arial"/>
            <w:color w:val="000000"/>
            <w:spacing w:val="-2"/>
            <w:sz w:val="24"/>
            <w:szCs w:val="24"/>
            <w:lang w:eastAsia="ru-RU"/>
          </w:rPr>
          <w:t>50 см</w:t>
        </w:r>
      </w:smartTag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от плоскости стены. Если элементы выступают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см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2.2.6.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0,1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входа в дом.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2.2.7.</w:t>
      </w:r>
      <w:r w:rsidRPr="00EE278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менее, указанных в таблице 4.</w:t>
      </w: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EE2783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Таблица </w:t>
      </w:r>
      <w:r w:rsidRPr="00EE27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EE2783" w:rsidRPr="00EE2783" w:rsidTr="00EE2783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Нормативный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Поголовье (шт.), не более</w:t>
            </w:r>
          </w:p>
        </w:tc>
      </w:tr>
      <w:tr w:rsidR="00EE2783" w:rsidRPr="00EE2783" w:rsidTr="00EE2783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коровы,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овцы,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кролики-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113" w:right="-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нутрии,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песцы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</w:rPr>
                <w:t>10 м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5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</w:rPr>
                <w:t>20 м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8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</w:rPr>
                <w:t>30 м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20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30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60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10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  <w:shd w:val="clear" w:color="auto" w:fill="FFFFFF"/>
                </w:rPr>
                <w:t>40 м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25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40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75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   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15     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размещении ульев на высоте не более2 м;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2.2.9.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2.2.10.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2.2.14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4"/>
        <w:gridCol w:w="3781"/>
      </w:tblGrid>
      <w:tr w:rsidR="00EE2783" w:rsidRPr="00EE2783" w:rsidTr="00EE2783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Удельные размеры площадок, м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/чел.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Примечание.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EE2783" w:rsidRPr="00EE2783" w:rsidTr="00EE2783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Расстояние от окон жилых и общественных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зданий, м, не менее</w:t>
            </w:r>
          </w:p>
        </w:tc>
      </w:tr>
      <w:tr w:rsidR="00EE2783" w:rsidRPr="00EE2783" w:rsidTr="00EE2783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Для занятий физкультурой (в зависимости от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10 - 40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таблице 39 настоящих нормативов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домов без мусоропроводов.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2.2.16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bookmarkStart w:id="9" w:name="_Toc297163329"/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3. Территории, предназначенные для ведения садоводства, огородничества, дачного хозяйства</w:t>
      </w: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vertAlign w:val="superscript"/>
          <w:lang w:eastAsia="ru-RU"/>
        </w:rPr>
        <w:footnoteReference w:id="1"/>
      </w: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vertAlign w:val="superscript"/>
          <w:lang w:eastAsia="ru-RU"/>
        </w:rPr>
        <w:t>[1]</w:t>
      </w:r>
      <w:bookmarkEnd w:id="9"/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двух въездов.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3.2.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_Toc297163330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10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EE2783" w:rsidRPr="00EE2783" w:rsidTr="00EE2783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Удельные размеры земельных участков, м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15 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sym w:font="Symbol" w:char="F02D"/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101 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sym w:font="Symbol" w:char="F02D"/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301 и более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 и менее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0,35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0,1</w:t>
            </w:r>
          </w:p>
        </w:tc>
      </w:tr>
      <w:tr w:rsidR="00EE2783" w:rsidRPr="00EE2783" w:rsidTr="00EE2783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0,4 и менее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3.5.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улиц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15;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проездов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9.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6,0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улиц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7,0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проездов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1" w:name="_Toc297163331"/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1"/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0,06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3.8.4.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от красной линии проездов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ym w:font="Symbol" w:char="F02D"/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входа в дом.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3.8.8.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bookmarkStart w:id="12" w:name="_Toc297163332"/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ОБЩЕСТВЕННО-ДЕЛОВЫЕ ЗОНЫ</w:t>
      </w:r>
      <w:bookmarkEnd w:id="12"/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3" w:name="_Toc297163333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4.1. Общие требования</w:t>
      </w:r>
      <w:bookmarkEnd w:id="13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4.1.5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14" w:name="_Toc297163334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4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 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Минимальная обеспеченность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 &lt;*&gt;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135 &lt;*&gt;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&lt;**&gt;</w:t>
            </w:r>
          </w:p>
        </w:tc>
      </w:tr>
      <w:tr w:rsidR="00EE2783" w:rsidRPr="00EE2783" w:rsidTr="00EE2783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&lt;**&gt;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При отсутствии расчета по демографии.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EE2783" w:rsidRPr="00EE2783" w:rsidTr="00EE2783">
        <w:trPr>
          <w:trHeight w:val="15"/>
          <w:jc w:val="center"/>
        </w:trPr>
        <w:tc>
          <w:tcPr>
            <w:tcW w:w="6489" w:type="dxa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Таблица 8.1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Радиус обслуживания, метров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</w:t>
            </w:r>
          </w:p>
        </w:tc>
      </w:tr>
      <w:tr w:rsidR="00EE2783" w:rsidRPr="00EE2783" w:rsidTr="00EE2783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Примечания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819"/>
        <w:gridCol w:w="845"/>
      </w:tblGrid>
      <w:tr w:rsidR="00EE2783" w:rsidRPr="00EE2783" w:rsidTr="00EE2783">
        <w:trPr>
          <w:trHeight w:val="15"/>
          <w:jc w:val="center"/>
        </w:trPr>
        <w:tc>
          <w:tcPr>
            <w:tcW w:w="3185" w:type="dxa"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</w:rPr>
              <w:t>Таблица 8.2</w:t>
            </w:r>
          </w:p>
        </w:tc>
        <w:tc>
          <w:tcPr>
            <w:tcW w:w="1094" w:type="dxa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населенные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нормам инсоляции и освещенности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E2783" w:rsidRPr="00EE2783" w:rsidTr="00EE2783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E2783" w:rsidRPr="00EE2783" w:rsidRDefault="00EE2783" w:rsidP="00EE278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 С входами и окнами.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Примечания: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100 метров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E2783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100 метров</w:t>
              </w:r>
            </w:smartTag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4.2.5</w:t>
      </w:r>
      <w:r w:rsidRPr="00EE2783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.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28.12. 2009 года № 381-ФЗ «Об основах государственного регулирования торговой деятельности в Российской Федерации», региональными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4.2.6</w:t>
      </w:r>
      <w:r w:rsidRPr="00EE2783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.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100 кв. м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Общая площадь рынка определяется из расчета: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14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14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18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4). Расчет площади рынка осуществляется по формуле: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тер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= A х 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торг  норм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х 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тер  норм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где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тер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общая площадь рынка;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- численность населения в тыс. чел.;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торг норм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S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bscript"/>
          <w:lang w:eastAsia="ru-RU"/>
        </w:rPr>
        <w:t>тер норм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4.2.9.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Размещение и проектирование культовых зданий и сооружений в жилых зонах населенных пунктов следует осуществлять с учетом обеспечения допустимых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уровней звука в жилой застройке, в том числе от колокольных звонов храмов, в соответствии с требованиями СНиП 23-03-2003.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  <w:r w:rsidRPr="00EE2783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0,2 м</w:t>
        </w:r>
        <w:r w:rsidRPr="00EE2783">
          <w:rPr>
            <w:rFonts w:ascii="Arial" w:eastAsia="Times New Roman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одно место в храме.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2,0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зданий храмов. </w:t>
      </w:r>
    </w:p>
    <w:p w:rsidR="00EE2783" w:rsidRPr="00EE2783" w:rsidRDefault="00EE2783" w:rsidP="00EE2783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15" w:name="_Toc297163335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5"/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16" w:name="_Toc297163336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6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проектировании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комплексного благоустройства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4.3.5.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4.3.6.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0,5 куб.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  в  населенных  пунктах поселения  должен составлять  не  более 200 метров.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.3.7.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0,9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0,8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EE2783" w:rsidRPr="00EE2783" w:rsidRDefault="00EE2783" w:rsidP="00EE2783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17" w:name="_Toc297163337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>5. РЕКРЕАЦИОННЫЕ ЗОНЫ ПОСЕЛЕНИЯ</w:t>
      </w:r>
      <w:bookmarkEnd w:id="17"/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18" w:name="_Toc297163338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5.1. Общие требования</w:t>
      </w:r>
      <w:r w:rsidRPr="00EE27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  <w:bookmarkEnd w:id="18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5.1.1.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5.1.2.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19" w:name="_Toc297163339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5.2. Озелененные территории общего пользования</w:t>
      </w:r>
      <w:r w:rsidRPr="00EE2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:</w:t>
      </w:r>
      <w:bookmarkEnd w:id="19"/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Норматив площади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 парков среднего и малого населенного пункта – 5;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садов микрорайонов (кварталов) – 3;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скверов – 0,3.</w:t>
      </w:r>
    </w:p>
    <w:p w:rsidR="00EE2783" w:rsidRPr="00EE2783" w:rsidRDefault="00EE2783" w:rsidP="00EE2783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Норматив площади озеленения территорий </w:t>
      </w:r>
      <w:r w:rsidRPr="00EE278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5.2.3.Норматив радиуса доступности до объектов рекреационного назначения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Таблица 9.1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54"/>
        <w:gridCol w:w="2942"/>
      </w:tblGrid>
      <w:tr w:rsidR="00EE2783" w:rsidRPr="00EE2783" w:rsidTr="00EE2783">
        <w:trPr>
          <w:trHeight w:val="1116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EE2783" w:rsidRPr="00EE2783" w:rsidTr="00EE2783"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2783" w:rsidRPr="00EE2783" w:rsidTr="00EE2783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минут на транспорте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559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минут на транспорте</w:t>
            </w:r>
          </w:p>
        </w:tc>
      </w:tr>
      <w:tr w:rsidR="00EE2783" w:rsidRPr="00EE2783" w:rsidTr="00EE2783">
        <w:trPr>
          <w:trHeight w:val="280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минут пешком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EE2783" w:rsidRPr="00EE2783" w:rsidTr="00EE2783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минут пешком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573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 часа на транспорте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EE2783" w:rsidRPr="00EE2783" w:rsidRDefault="00EE2783" w:rsidP="00EE278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кв. метров</w:t>
        </w:r>
      </w:smartTag>
      <w:r w:rsidRPr="00EE2783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 кв.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4 кв.метра для детей. 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5.2.5. Парк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зеленых насаждений и водоемов - 65 - 70;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аллеи, дорожки, площадки - 25 - 28;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здания и сооружения - 5 - 7.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зона культурно-просветительских мероприятий - 3 - 8;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зона отдыха детей - 5 - 10;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прогулочная зона - 40 - 75;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хозяйственная зона - 2 - 5.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0,9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Общественный сад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5.2.9.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территории зеленых насаждений и водоемов - 80 - 90;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аллеи, дорожки, площадки - 8 - 15;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здания и сооружения - 2 - 5.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5.2.10. Бульвар и пешеходные аллеи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размещаемых по оси улиц - 18;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EE2783" w:rsidRPr="00EE2783" w:rsidTr="00EE2783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EE2783" w:rsidRPr="00EE2783" w:rsidTr="00EE2783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сооружения и застройка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2 - 3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5.2.12. Сквер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2,0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EE2783" w:rsidRPr="00EE2783" w:rsidTr="00EE2783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 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EE2783" w:rsidRPr="00EE2783" w:rsidTr="00EE2783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30 - 20 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5.2.14.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пешеходных коммуникаций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0,75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_Toc297163340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20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EE2783" w:rsidRPr="00EE2783" w:rsidTr="00EE2783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Территории озеленения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 менее 50  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 менее 40  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&lt;*&gt; - 65  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&lt;*&gt; - 30  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Не менее 40        </w:t>
            </w:r>
          </w:p>
        </w:tc>
      </w:tr>
      <w:tr w:rsidR="00EE2783" w:rsidRPr="00EE2783" w:rsidTr="00EE2783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783" w:rsidRPr="00EE2783" w:rsidRDefault="00EE2783" w:rsidP="00EE27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10 - 15 &lt;**&gt;        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улично-дорожной сети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EE2783" w:rsidRPr="00EE2783" w:rsidTr="00EE278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Расстояние от оси ствола дерева, кустарника, м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3 - 4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2 - 3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1,5 - 2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5.2.17.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технических зон инженерных коммуникаций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_Toc297163341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1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EE2783" w:rsidRPr="00EE2783" w:rsidTr="00EE2783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Расстояния, м, от здания,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сооружения, объекта до оси</w:t>
            </w:r>
          </w:p>
        </w:tc>
      </w:tr>
      <w:tr w:rsidR="00EE2783" w:rsidRPr="00EE2783" w:rsidTr="00EE2783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кустарника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E2783" w:rsidRPr="00EE2783" w:rsidTr="00EE2783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Подземные сети: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</w:tr>
      <w:tr w:rsidR="00EE2783" w:rsidRPr="00EE2783" w:rsidTr="00EE2783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тепловая сеть (стенка канала, тоннеля или оболочка при безканальной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E2783" w:rsidRPr="00EE2783" w:rsidTr="00EE2783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</w:tr>
      <w:tr w:rsidR="00EE2783" w:rsidRPr="00EE2783" w:rsidTr="00EE2783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</w:t>
            </w:r>
          </w:p>
        </w:tc>
      </w:tr>
    </w:tbl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bookmarkStart w:id="22" w:name="_Toc297163342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5.3. Зоны отдыха</w:t>
      </w:r>
      <w:r w:rsidRPr="00EE27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:</w:t>
      </w:r>
      <w:bookmarkEnd w:id="22"/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кв.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14.1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2232"/>
        <w:gridCol w:w="2921"/>
      </w:tblGrid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Минимальный расчетный показатель обеспечения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1-1,5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20-35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3800-4000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Кв.метров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Вело и лыжные станции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Гектаров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0,8-1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</w:t>
            </w:r>
          </w:p>
        </w:tc>
      </w:tr>
      <w:tr w:rsidR="00EE2783" w:rsidRPr="00EE2783" w:rsidTr="00EE2783">
        <w:trPr>
          <w:trHeight w:val="7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100-400</w:t>
            </w:r>
          </w:p>
        </w:tc>
      </w:tr>
      <w:tr w:rsidR="00EE2783" w:rsidRPr="00EE2783" w:rsidTr="00EE2783">
        <w:trPr>
          <w:trHeight w:val="20"/>
          <w:jc w:val="center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</w:tr>
    </w:tbl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озерных - 8;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озерных (для детей) - 4.</w:t>
      </w:r>
    </w:p>
    <w:p w:rsidR="00EE2783" w:rsidRPr="00EE2783" w:rsidRDefault="00EE2783" w:rsidP="00EE2783">
      <w:pPr>
        <w:overflowPunct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0,25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одного посетителя.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5.3.6.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5.3.7.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5.3.8.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0,5 куб.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5.3.9.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p w:rsidR="00EE2783" w:rsidRPr="00EE2783" w:rsidRDefault="00EE2783" w:rsidP="00EE278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EE2783" w:rsidRPr="00EE2783" w:rsidTr="00EE2783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Назначение</w:t>
            </w:r>
          </w:p>
        </w:tc>
      </w:tr>
      <w:tr w:rsidR="00EE2783" w:rsidRPr="00EE2783" w:rsidTr="00EE2783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EE2783" w:rsidRPr="00EE2783" w:rsidTr="00EE2783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Второстепенные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EE2783" w:rsidRPr="00EE2783" w:rsidTr="00EE2783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Дополнительные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EE2783" w:rsidRPr="00EE2783" w:rsidTr="00EE2783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 xml:space="preserve">*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Примечания:</w:t>
      </w:r>
    </w:p>
    <w:p w:rsidR="00EE2783" w:rsidRPr="00EE2783" w:rsidRDefault="00EE2783" w:rsidP="00EE27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5.3.11.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23" w:name="_Toc297163344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5.4. Зоны размещения физкультурно-спортивных объектов</w:t>
      </w:r>
      <w:bookmarkEnd w:id="23"/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5.4.7.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EE2783" w:rsidRPr="00EE2783" w:rsidRDefault="00EE2783" w:rsidP="00EE2783">
      <w:pPr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5.4.8.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EE2783" w:rsidRPr="00EE2783" w:rsidRDefault="00EE2783" w:rsidP="00EE2783">
      <w:pPr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5.4.9.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EE2783" w:rsidRPr="00EE2783" w:rsidRDefault="00EE2783" w:rsidP="00EE278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24" w:name="_Toc297163345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4"/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5.5.1.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3891"/>
        <w:gridCol w:w="2303"/>
        <w:gridCol w:w="1919"/>
      </w:tblGrid>
      <w:tr w:rsidR="00EE2783" w:rsidRPr="00EE2783" w:rsidTr="00EE2783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Размер земельного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участка,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кв.метров на 1 место</w:t>
            </w:r>
          </w:p>
        </w:tc>
      </w:tr>
      <w:tr w:rsidR="00EE2783" w:rsidRPr="00EE2783" w:rsidTr="00EE2783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E2783" w:rsidRPr="00EE2783" w:rsidTr="00EE2783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EE2783" w:rsidRPr="00EE2783" w:rsidTr="00EE2783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50-75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75-100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75-150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EE2783" w:rsidRPr="00EE2783" w:rsidTr="00EE2783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65-80</w:t>
            </w:r>
          </w:p>
        </w:tc>
      </w:tr>
      <w:tr w:rsidR="00EE2783" w:rsidRPr="00EE2783" w:rsidTr="00EE2783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Оборудованные походные площадки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5-8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140-160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 оздоровительного и реабилитационного профиля территории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Санатории</w:t>
            </w: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125-150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145-170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Санатории-профилактории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70-100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140-200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120-130</w:t>
            </w:r>
          </w:p>
        </w:tc>
      </w:tr>
      <w:tr w:rsidR="00EE2783" w:rsidRPr="00EE2783" w:rsidTr="00EE2783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150-200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 охотника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15-20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5.5.2.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лечебно-оздоровительных местностей и курортных зон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5.5.3.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  <w:gridCol w:w="2422"/>
      </w:tblGrid>
      <w:tr w:rsidR="00EE2783" w:rsidRPr="00EE2783" w:rsidTr="00EE2783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Рекреационная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нагрузка, чел./га</w:t>
            </w:r>
          </w:p>
        </w:tc>
      </w:tr>
      <w:tr w:rsidR="00EE2783" w:rsidRPr="00EE2783" w:rsidTr="00EE278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Акватория (для купания):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катания на весельных лодках (2 чел. на лодку);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катания на моторных лодках и водных лыжах;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2-5</w:t>
            </w: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0,5-1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5-10</w:t>
            </w:r>
          </w:p>
        </w:tc>
      </w:tr>
      <w:tr w:rsidR="00EE2783" w:rsidRPr="00EE2783" w:rsidTr="00EE278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Берег и прибрежная акватория (для любительского рыболовства):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ловли рыбы с лодки (2 чел. на лодку);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10-20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50-100</w:t>
            </w:r>
          </w:p>
        </w:tc>
      </w:tr>
      <w:tr w:rsidR="00EE2783" w:rsidRPr="00EE2783" w:rsidTr="00EE278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2-20 чел./км</w:t>
            </w:r>
          </w:p>
        </w:tc>
      </w:tr>
      <w:tr w:rsidR="00EE2783" w:rsidRPr="00EE2783" w:rsidTr="00EE2783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Территория для размещения палаточных лагерей: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глубинных участков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250-300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300-400</w:t>
            </w:r>
          </w:p>
        </w:tc>
      </w:tr>
    </w:tbl>
    <w:p w:rsidR="00EE2783" w:rsidRPr="00EE2783" w:rsidRDefault="00EE2783" w:rsidP="00EE2783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25" w:name="_Toc297163346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5.6. Зоны учреждений отдыха и оздоровления детей</w:t>
      </w:r>
      <w:bookmarkEnd w:id="25"/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проектирования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учреждений отдыха и оздоровления детей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учетом розы ветров;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вблизи лесных массивов и водоемов.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EE2783" w:rsidRPr="00EE2783" w:rsidRDefault="00EE2783" w:rsidP="00EE2783">
      <w:pPr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EE2783" w:rsidRPr="00EE2783" w:rsidRDefault="00EE2783" w:rsidP="00EE278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Участки основной и вспомогательной застройки детского 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0,9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100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от территории основной застройки. 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9.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500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Территория должна быть благоустроена.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10.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11.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4 м</w:t>
        </w:r>
        <w:r w:rsidRPr="00EE2783">
          <w:rPr>
            <w:rFonts w:ascii="Arial" w:eastAsia="Courier New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5 м</w:t>
        </w:r>
        <w:r w:rsidRPr="00EE2783">
          <w:rPr>
            <w:rFonts w:ascii="Arial" w:eastAsia="Courier New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на 1 место в санаторно-оздоровительных учреждениях. Коэффициент одновременной загрузки пляжа для детских оздоровительных учреждений равен 0,5 для санаторно-оздоровительных – 1.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25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0,25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на 1 ребенка.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EE2783">
        <w:rPr>
          <w:rFonts w:ascii="Arial" w:eastAsia="Courier New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EE2783">
          <w:rPr>
            <w:rFonts w:ascii="Arial" w:eastAsia="Courier New" w:hAnsi="Arial" w:cs="Arial"/>
            <w:color w:val="000000"/>
            <w:spacing w:val="-2"/>
            <w:sz w:val="24"/>
            <w:szCs w:val="24"/>
            <w:lang w:eastAsia="ru-RU"/>
          </w:rPr>
          <w:t>25 м</w:t>
        </w:r>
      </w:smartTag>
      <w:r w:rsidRPr="00EE2783">
        <w:rPr>
          <w:rFonts w:ascii="Arial" w:eastAsia="Courier New" w:hAnsi="Arial" w:cs="Arial"/>
          <w:color w:val="000000"/>
          <w:spacing w:val="-2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EE2783">
          <w:rPr>
            <w:rFonts w:ascii="Arial" w:eastAsia="Courier New" w:hAnsi="Arial" w:cs="Arial"/>
            <w:color w:val="000000"/>
            <w:spacing w:val="-2"/>
            <w:sz w:val="24"/>
            <w:szCs w:val="24"/>
            <w:lang w:eastAsia="ru-RU"/>
          </w:rPr>
          <w:t>5 м</w:t>
        </w:r>
        <w:r w:rsidRPr="00EE2783">
          <w:rPr>
            <w:rFonts w:ascii="Arial" w:eastAsia="Courier New" w:hAnsi="Arial" w:cs="Arial"/>
            <w:color w:val="000000"/>
            <w:spacing w:val="-2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Courier New" w:hAnsi="Arial" w:cs="Arial"/>
          <w:color w:val="000000"/>
          <w:spacing w:val="-2"/>
          <w:sz w:val="24"/>
          <w:szCs w:val="24"/>
          <w:lang w:eastAsia="ru-RU"/>
        </w:rPr>
        <w:t>, в непроточных водоемах –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10 м</w:t>
        </w:r>
        <w:r w:rsidRPr="00EE2783">
          <w:rPr>
            <w:rFonts w:ascii="Arial" w:eastAsia="Courier New" w:hAnsi="Arial" w:cs="Arial"/>
            <w:color w:val="000000"/>
            <w:sz w:val="24"/>
            <w:szCs w:val="24"/>
            <w:vertAlign w:val="superscript"/>
            <w:lang w:eastAsia="ru-RU"/>
          </w:rPr>
          <w:t>2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1,2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50 см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70 см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lastRenderedPageBreak/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50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1,0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EE2783">
          <w:rPr>
            <w:rFonts w:ascii="Arial" w:eastAsia="Courier New" w:hAnsi="Arial" w:cs="Arial"/>
            <w:color w:val="000000"/>
            <w:sz w:val="24"/>
            <w:szCs w:val="24"/>
            <w:lang w:eastAsia="ru-RU"/>
          </w:rPr>
          <w:t>25 м</w:t>
        </w:r>
      </w:smartTag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от зданий.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E2783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EE2783">
        <w:rPr>
          <w:rFonts w:ascii="Arial" w:eastAsia="Courier New" w:hAnsi="Arial" w:cs="Arial"/>
          <w:color w:val="000000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«Транспортная инфраструктура населенных пунктов поселения» и «Зоны отдыха» настоящих нормативов.</w:t>
      </w: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26" w:name="_Toc297163347"/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</w:t>
      </w:r>
      <w:r w:rsidRPr="00EE2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6"/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bookmarkStart w:id="27" w:name="_Toc297163348"/>
      <w:r w:rsidRPr="00EE278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6.1. Улично-дорожная сеть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населенных пунктов поселения</w:t>
      </w:r>
      <w:bookmarkEnd w:id="27"/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6. 1.2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EE2783" w:rsidRPr="00EE2783" w:rsidRDefault="00EE2783" w:rsidP="00EE278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6"/>
          <w:szCs w:val="28"/>
          <w:shd w:val="clear" w:color="auto" w:fill="FFFFFF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6.1.3.  П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500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800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EE2783" w:rsidRPr="00EE2783" w:rsidTr="00EE2783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Здания, до которых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Расстояние, метров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 станций технического обслуживания при числе постов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 и менее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11-30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10**</w:t>
            </w:r>
          </w:p>
        </w:tc>
        <w:tc>
          <w:tcPr>
            <w:tcW w:w="795" w:type="dxa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6**</w:t>
            </w:r>
          </w:p>
        </w:tc>
        <w:tc>
          <w:tcPr>
            <w:tcW w:w="795" w:type="dxa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6**</w:t>
            </w:r>
          </w:p>
        </w:tc>
        <w:tc>
          <w:tcPr>
            <w:tcW w:w="795" w:type="dxa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5" w:type="dxa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EE2783" w:rsidRPr="00EE2783" w:rsidTr="00EE2783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Лечебные учреждения со стационаром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EE2783" w:rsidRPr="00EE2783" w:rsidTr="00EE2783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** Для зданий гаражей </w:t>
            </w: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и </w:t>
            </w: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степеней огнестойкости расстояния следует принимать не менее 12метров.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E2783">
                <w:rPr>
                  <w:rFonts w:ascii="Arial" w:eastAsia="Times New Roman" w:hAnsi="Arial" w:cs="Arial"/>
                  <w:bCs/>
                  <w:iCs/>
                  <w:color w:val="000000"/>
                  <w:sz w:val="24"/>
                  <w:szCs w:val="24"/>
                </w:rPr>
                <w:t>50 метров</w:t>
              </w:r>
            </w:smartTag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E2783">
                <w:rPr>
                  <w:rFonts w:ascii="Arial" w:eastAsia="Times New Roman" w:hAnsi="Arial" w:cs="Arial"/>
                  <w:bCs/>
                  <w:iCs/>
                  <w:color w:val="000000"/>
                  <w:sz w:val="24"/>
                  <w:szCs w:val="24"/>
                </w:rPr>
                <w:t>50 м</w:t>
              </w:r>
            </w:smartTag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_Toc297163349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8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EE2783" w:rsidRPr="00EE2783" w:rsidTr="00EE2783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Расчетная скорость движени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Ширина в крас-ных ли-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Наимень-ший радиус кривых в 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Наиболь-ший про-дольны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 xml:space="preserve">Ширина пешеход-ной 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lastRenderedPageBreak/>
              <w:t>части тротуара, м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shd w:val="clear" w:color="auto" w:fill="D9D9D9"/>
              </w:rPr>
              <w:lastRenderedPageBreak/>
              <w:t>Магистральные улицы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2,25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Улицы и дороги местного 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EE2783" w:rsidRPr="00EE2783" w:rsidTr="00EE2783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</w:tr>
      <w:tr w:rsidR="00EE2783" w:rsidRPr="00EE2783" w:rsidTr="00EE278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shd w:val="clear" w:color="auto" w:fill="D9D9D9"/>
              </w:rPr>
              <w:t>Пешеходные улицы</w:t>
            </w: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 xml:space="preserve">По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4"/>
                <w:sz w:val="24"/>
                <w:szCs w:val="24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проекту</w:t>
            </w:r>
          </w:p>
        </w:tc>
      </w:tr>
      <w:tr w:rsidR="00EE2783" w:rsidRPr="00EE2783" w:rsidTr="00EE278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проекту</w:t>
            </w:r>
          </w:p>
        </w:tc>
      </w:tr>
      <w:tr w:rsidR="00EE2783" w:rsidRPr="00EE2783" w:rsidTr="00EE2783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noBreakHyphen/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Примечания: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6.1.5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проезды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4,2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6.1.7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7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Тротуары могут устраиваться с одной стороны.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6.1.8.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зоне малоэтажной жилой застройки в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торостепенные проезды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6.1.9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0,15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6.1.10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1,2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1,5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тротуаров – 0,5;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6.1.11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 см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4,2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6.2. </w:t>
      </w:r>
      <w:r w:rsidRPr="00EE2783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автостоянками для постоянного хранения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мотоциклы и мотороллеры без колясок – 0,25;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мопеды и велосипеды – 0,1.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6.2.2.Норматив стоянок легковых автомобилей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и коммунально-бытового обслуживания в зонах </w:t>
            </w: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100 мест в залах или </w:t>
            </w: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7-10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E2783" w:rsidRPr="00EE2783" w:rsidTr="00EE2783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E2783" w:rsidRPr="00EE2783" w:rsidRDefault="00EE2783" w:rsidP="00EE278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E2783">
              <w:rPr>
                <w:rFonts w:ascii="Arial" w:eastAsia="Lucida Sans Unicode" w:hAnsi="Arial" w:cs="Arial"/>
                <w:color w:val="000000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800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6.2.4.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9" w:name="Par1082"/>
      <w:bookmarkEnd w:id="29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</w:p>
    <w:p w:rsidR="00EE2783" w:rsidRPr="00EE2783" w:rsidRDefault="00EE2783" w:rsidP="00EE2783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EE2783" w:rsidRPr="00EE2783" w:rsidTr="00EE2783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Расстояние, </w:t>
            </w:r>
            <w:r w:rsidRPr="00EE2783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</w:rPr>
              <w:t>м</w:t>
            </w: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, не менее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Открытые автостоянки и паркинги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вместимостью, машино-мест</w:t>
            </w:r>
          </w:p>
        </w:tc>
      </w:tr>
      <w:tr w:rsidR="00EE2783" w:rsidRPr="00EE2783" w:rsidTr="00EE2783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свыше 300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Фасады </w:t>
            </w:r>
            <w:r w:rsidRPr="00EE278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жилых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 xml:space="preserve">Торцы жилых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зданий </w:t>
            </w:r>
            <w:r w:rsidRPr="00EE278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E2783">
              <w:rPr>
                <w:rFonts w:ascii="Arial" w:eastAsia="Times New Roman" w:hAnsi="Arial" w:cs="Times New Roman"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E2783" w:rsidRPr="00EE2783" w:rsidTr="00EE2783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расчету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гостевые автостоянки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6.2.6.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EE278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легковых автомобилей – 25;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грузовых автомобилей – 40;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автобусов – 40;     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велосипедов – 0,9.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6.2.7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6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6.3.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Объекты по техническому обслуживанию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5 постов – 0,5;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10 постов – 1,0;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lastRenderedPageBreak/>
        <w:t>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_Toc297163350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Таблица 19.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3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EE2783" w:rsidRPr="00EE2783" w:rsidTr="00EE2783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Расстояние, м, не менее</w:t>
            </w:r>
          </w:p>
        </w:tc>
      </w:tr>
      <w:tr w:rsidR="00EE2783" w:rsidRPr="00EE2783" w:rsidTr="00EE278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</w:tr>
      <w:tr w:rsidR="00EE2783" w:rsidRPr="00EE2783" w:rsidTr="00EE278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E2783" w:rsidRPr="00EE2783" w:rsidTr="00EE278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EE2783" w:rsidRPr="00EE2783" w:rsidTr="00EE2783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6.4. Автозаправочные станции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2 колонки – 0,1;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автозаправочных станций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6.5.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Моечные пункты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моек автомобилей до двух постов – 50.</w:t>
      </w:r>
    </w:p>
    <w:p w:rsidR="00EE2783" w:rsidRPr="00EE2783" w:rsidRDefault="00EE2783" w:rsidP="00EE2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Расчетные показатели в сфере обеспечения инженерным оборудованием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7.1.  Общие требования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E2783" w:rsidRPr="00EE2783" w:rsidRDefault="00EE2783" w:rsidP="00EE2783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7.1.3.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EE2783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газоснабжения</w:t>
      </w:r>
      <w:r w:rsidRPr="00EE2783"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30 декабря </w:t>
      </w:r>
      <w:smartTag w:uri="urn:schemas-microsoft-com:office:smarttags" w:element="metricconverter">
        <w:smartTagPr>
          <w:attr w:name="ProductID" w:val="2004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2004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210-ФЗ.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7.1.5 Проектирование систем хозяйственно-питьевого водоснабжения и канализации населенных пунктов следует производить в соответствии с требованиями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31.13330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санитарно-гигиенической надежности получения питьевой воды, экологических и ресурсосберегающих требований.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7.1.6. Выбор источников хозяйственно-питьевого водоснабжения необходимо осуществлять в соответствии с требованиями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ГОСТ 2761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7.1.7</w:t>
      </w: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1 гектар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0,8 до 12 – 2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12 до 32 – 3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32 до 80 – 4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6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20</w:t>
      </w: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EE2783" w:rsidRPr="00EE2783" w:rsidTr="00EE2783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Размеры земельных участков, гектары</w:t>
            </w:r>
          </w:p>
        </w:tc>
      </w:tr>
      <w:tr w:rsidR="00EE2783" w:rsidRPr="00EE2783" w:rsidTr="00EE2783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биологических прудов глубокой очистки сточных вод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E2783" w:rsidRPr="00EE2783" w:rsidTr="00EE2783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E2783" w:rsidRPr="00EE2783" w:rsidTr="00EE2783"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EE2783" w:rsidRPr="00EE2783" w:rsidTr="00EE2783"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0,25 гектаров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требованиями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0,8 до 12 – 2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12 до 32 – 3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свыше 32 до 80 – 4 гектара;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6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12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таблице 12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соответствии с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таблице 13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соответствии с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7.2. Нормативы обеспеченности объектами теплоснабжения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EE2783" w:rsidRPr="00EE2783" w:rsidTr="00EE278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Размеры земельных участков, гектаров, котельных, работающих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газо,мазутном топливе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 5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0,7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2,5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 </w:t>
            </w:r>
          </w:p>
        </w:tc>
      </w:tr>
      <w:tr w:rsidR="00EE2783" w:rsidRPr="00EE2783" w:rsidTr="00EE2783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ArialMT" w:hAnsi="Arial" w:cs="Arial"/>
                <w:color w:val="000000"/>
                <w:sz w:val="24"/>
                <w:szCs w:val="24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3,5 </w:t>
            </w:r>
          </w:p>
        </w:tc>
      </w:tr>
      <w:tr w:rsidR="00EE2783" w:rsidRPr="00EE2783" w:rsidTr="00EE2783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 определение размеров площадок для них необходимо предусматривать по СНиП 2.04.07-86.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7.3. Нормативы обеспеченности объектами газоснабжения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7.3.2. Газораспределительные станции магистральных газопроводов следует размещать за пределами поселений в соответствии с требованиями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36.13330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6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ArialMT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7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EE2783">
          <w:rPr>
            <w:rFonts w:ascii="Arial" w:eastAsia="ArialMT" w:hAnsi="Arial" w:cs="Arial"/>
            <w:color w:val="000000"/>
            <w:sz w:val="24"/>
            <w:szCs w:val="24"/>
            <w:lang w:eastAsia="ru-RU"/>
          </w:rPr>
          <w:t>8 гектаров</w:t>
        </w:r>
      </w:smartTag>
      <w:r w:rsidRPr="00EE2783">
        <w:rPr>
          <w:rFonts w:ascii="Arial" w:eastAsia="ArialMT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0,6 га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Расстояния от них до зданий и сооружений различного назначения следует принимать согласно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62.13330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7.4. Нормативы обеспеченности объектами электроснабжения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14"/>
        <w:gridCol w:w="3107"/>
        <w:gridCol w:w="3451"/>
      </w:tblGrid>
      <w:tr w:rsidR="00EE2783" w:rsidRPr="00EE2783" w:rsidTr="00EE2783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Населенные пункты</w:t>
            </w:r>
          </w:p>
        </w:tc>
      </w:tr>
      <w:tr w:rsidR="00EE2783" w:rsidRPr="00EE2783" w:rsidTr="00EE278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 стационарными электроплитами, киловатт-часах/человек в год</w:t>
            </w:r>
          </w:p>
        </w:tc>
      </w:tr>
      <w:tr w:rsidR="00EE2783" w:rsidRPr="00EE2783" w:rsidTr="00EE278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2100</w:t>
            </w:r>
          </w:p>
        </w:tc>
      </w:tr>
      <w:tr w:rsidR="00EE2783" w:rsidRPr="00EE2783" w:rsidTr="00EE278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1890</w:t>
            </w:r>
          </w:p>
        </w:tc>
      </w:tr>
      <w:tr w:rsidR="00EE2783" w:rsidRPr="00EE2783" w:rsidTr="00EE2783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1680</w:t>
            </w:r>
          </w:p>
        </w:tc>
      </w:tr>
    </w:tbl>
    <w:p w:rsidR="00EE2783" w:rsidRPr="00EE2783" w:rsidRDefault="00EE2783" w:rsidP="00EE278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40"/>
          <w:sz w:val="24"/>
          <w:szCs w:val="24"/>
          <w:lang w:eastAsia="ru-RU"/>
        </w:rPr>
        <w:t>Примечания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E2783" w:rsidRPr="00EE2783" w:rsidRDefault="00EE2783" w:rsidP="00EE278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E2783" w:rsidRPr="00EE2783" w:rsidRDefault="00EE2783" w:rsidP="00EE2783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Укрупненные показатели электропотребления допускается принимать в соответствии с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таблицей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23.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EE2783" w:rsidRPr="00EE2783" w:rsidTr="00EE2783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Электропотребление,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Использование максимума электрической нагрузки, ч/год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Населенные пункты, не оборудованные стационарными электроплитами: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 кондиционеров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5200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 кондиционерами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Населенные пункты, оборудованные стационарными электроплитами (100 процентов охвата):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без кондиционеров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5300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 кондиционерами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5800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Поселки и сельские поселения (без кондиционеров):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не оборудованные стационарными электроплитами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4100</w:t>
            </w:r>
          </w:p>
        </w:tc>
      </w:tr>
      <w:tr w:rsidR="00EE2783" w:rsidRPr="00EE2783" w:rsidTr="00EE2783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оборудованные стационарными электроплитами (100% охвата)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4400</w:t>
            </w:r>
          </w:p>
        </w:tc>
      </w:tr>
      <w:tr w:rsidR="00EE2783" w:rsidRPr="00EE2783" w:rsidTr="00EE2783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средних                   0,9 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малых                      0,8 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EE2783" w:rsidRPr="00EE2783" w:rsidTr="00EE2783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 м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15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7.5.2. Нормы накопления бытовых отходов принимаются в соответствии с территориальными нормативами накопления твердых бытовых отходов, действующими в населённых пунктах, а в случае отсутствия утвержденных нормативов – по таблице 24.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EE2783" w:rsidRPr="00EE2783" w:rsidTr="00EE2783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Бытовые отходы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бытовых отходов на 1 человека в год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hRule="exact" w:val="603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килограмм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317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Твердые: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 прочих жилых зданий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190-225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300-450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900-1000</w:t>
            </w: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1100-1500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E2783" w:rsidRPr="00EE2783" w:rsidTr="00EE2783">
        <w:trPr>
          <w:trHeight w:val="80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E2783" w:rsidRPr="00EE2783" w:rsidTr="00EE2783">
        <w:trPr>
          <w:trHeight w:hRule="exact" w:val="844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Общее количество по поселению с учетом общественных зданий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280-300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1400-1500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Жидкие из выгребов (при отсутствии канализации)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2000-3500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E2783" w:rsidRPr="00EE2783" w:rsidTr="00EE2783">
        <w:trPr>
          <w:trHeight w:hRule="exact" w:val="875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Смет с 1 квадратного метра</w:t>
            </w:r>
            <w:r w:rsidRPr="00EE2783">
              <w:rPr>
                <w:rFonts w:ascii="Arial" w:eastAsia="Times New Roman" w:hAnsi="Arial" w:cs="Arial"/>
                <w:color w:val="000000"/>
                <w:position w:val="8"/>
                <w:sz w:val="24"/>
                <w:szCs w:val="24"/>
              </w:rPr>
              <w:t xml:space="preserve"> </w:t>
            </w: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твердых покрытий улиц, площадей и парков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5-15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E2783" w:rsidRPr="00EE2783" w:rsidRDefault="00EE2783" w:rsidP="00EE27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8-20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iCs/>
          <w:color w:val="000000"/>
          <w:spacing w:val="39"/>
          <w:w w:val="99"/>
          <w:sz w:val="24"/>
          <w:szCs w:val="24"/>
          <w:lang w:eastAsia="ru-RU"/>
        </w:rPr>
        <w:t>Пр</w:t>
      </w:r>
      <w:r w:rsidRPr="00EE2783">
        <w:rPr>
          <w:rFonts w:ascii="Arial" w:eastAsia="Times New Roman" w:hAnsi="Arial" w:cs="Arial"/>
          <w:iCs/>
          <w:color w:val="000000"/>
          <w:spacing w:val="40"/>
          <w:w w:val="99"/>
          <w:sz w:val="24"/>
          <w:szCs w:val="24"/>
          <w:lang w:eastAsia="ru-RU"/>
        </w:rPr>
        <w:t>и</w:t>
      </w:r>
      <w:r w:rsidRPr="00EE2783">
        <w:rPr>
          <w:rFonts w:ascii="Arial" w:eastAsia="Times New Roman" w:hAnsi="Arial" w:cs="Arial"/>
          <w:iCs/>
          <w:color w:val="000000"/>
          <w:spacing w:val="41"/>
          <w:w w:val="99"/>
          <w:sz w:val="24"/>
          <w:szCs w:val="24"/>
          <w:lang w:eastAsia="ru-RU"/>
        </w:rPr>
        <w:t>м</w:t>
      </w:r>
      <w:r w:rsidRPr="00EE2783">
        <w:rPr>
          <w:rFonts w:ascii="Arial" w:eastAsia="Times New Roman" w:hAnsi="Arial" w:cs="Arial"/>
          <w:iCs/>
          <w:color w:val="000000"/>
          <w:spacing w:val="39"/>
          <w:w w:val="99"/>
          <w:sz w:val="24"/>
          <w:szCs w:val="24"/>
          <w:lang w:eastAsia="ru-RU"/>
        </w:rPr>
        <w:t>е</w:t>
      </w:r>
      <w:r w:rsidRPr="00EE2783">
        <w:rPr>
          <w:rFonts w:ascii="Arial" w:eastAsia="Times New Roman" w:hAnsi="Arial" w:cs="Arial"/>
          <w:iCs/>
          <w:color w:val="000000"/>
          <w:spacing w:val="41"/>
          <w:w w:val="99"/>
          <w:sz w:val="24"/>
          <w:szCs w:val="24"/>
          <w:lang w:eastAsia="ru-RU"/>
        </w:rPr>
        <w:t>ча</w:t>
      </w:r>
      <w:r w:rsidRPr="00EE2783">
        <w:rPr>
          <w:rFonts w:ascii="Arial" w:eastAsia="Times New Roman" w:hAnsi="Arial" w:cs="Arial"/>
          <w:iCs/>
          <w:color w:val="000000"/>
          <w:spacing w:val="40"/>
          <w:w w:val="99"/>
          <w:sz w:val="24"/>
          <w:szCs w:val="24"/>
          <w:lang w:eastAsia="ru-RU"/>
        </w:rPr>
        <w:t>ние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: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Н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о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рмы</w:t>
      </w:r>
      <w:r w:rsidRPr="00EE278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н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а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копле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н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ия</w:t>
      </w:r>
      <w:r w:rsidRPr="00EE278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кр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п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н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огаб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а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р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и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ны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б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ы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ов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ы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о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одов</w:t>
      </w:r>
      <w:r w:rsidRPr="00EE2783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лед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у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ет</w:t>
      </w:r>
      <w:r w:rsidRPr="00EE278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прин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и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ма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ь</w:t>
      </w:r>
      <w:r w:rsidRPr="00EE278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в</w:t>
      </w:r>
      <w:r w:rsidRPr="00EE2783">
        <w:rPr>
          <w:rFonts w:ascii="Arial" w:eastAsia="Times New Roman" w:hAnsi="Arial" w:cs="Arial"/>
          <w:color w:val="000000"/>
          <w:spacing w:val="24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размере</w:t>
      </w:r>
      <w:r w:rsidRPr="00EE2783">
        <w:rPr>
          <w:rFonts w:ascii="Arial" w:eastAsia="Times New Roman" w:hAnsi="Arial" w:cs="Arial"/>
          <w:color w:val="000000"/>
          <w:spacing w:val="23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5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%</w:t>
      </w:r>
      <w:r w:rsidRPr="00EE2783">
        <w:rPr>
          <w:rFonts w:ascii="Arial" w:eastAsia="Times New Roman" w:hAnsi="Arial" w:cs="Arial"/>
          <w:color w:val="000000"/>
          <w:spacing w:val="22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в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-1"/>
          <w:sz w:val="24"/>
          <w:szCs w:val="24"/>
          <w:lang w:eastAsia="ru-RU"/>
        </w:rPr>
        <w:t>с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аве</w:t>
      </w:r>
      <w:r w:rsidRPr="00EE27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п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рив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е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ден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н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ы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зна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ч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ений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вё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р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ды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бы</w:t>
      </w:r>
      <w:r w:rsidRPr="00EE2783">
        <w:rPr>
          <w:rFonts w:ascii="Arial" w:eastAsia="Times New Roman" w:hAnsi="Arial" w:cs="Arial"/>
          <w:iCs/>
          <w:color w:val="000000"/>
          <w:spacing w:val="-1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овы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iCs/>
          <w:color w:val="000000"/>
          <w:spacing w:val="1"/>
          <w:w w:val="99"/>
          <w:sz w:val="24"/>
          <w:szCs w:val="24"/>
          <w:lang w:eastAsia="ru-RU"/>
        </w:rPr>
        <w:t>о</w:t>
      </w:r>
      <w:r w:rsidRPr="00EE2783">
        <w:rPr>
          <w:rFonts w:ascii="Arial" w:eastAsia="Times New Roman" w:hAnsi="Arial" w:cs="Arial"/>
          <w:iCs/>
          <w:color w:val="000000"/>
          <w:spacing w:val="-2"/>
          <w:w w:val="99"/>
          <w:sz w:val="24"/>
          <w:szCs w:val="24"/>
          <w:lang w:eastAsia="ru-RU"/>
        </w:rPr>
        <w:t>т</w:t>
      </w:r>
      <w:r w:rsidRPr="00EE278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</w:t>
      </w:r>
      <w:r w:rsidRPr="00EE2783">
        <w:rPr>
          <w:rFonts w:ascii="Arial" w:eastAsia="Times New Roman" w:hAnsi="Arial" w:cs="Arial"/>
          <w:iCs/>
          <w:color w:val="000000"/>
          <w:w w:val="99"/>
          <w:sz w:val="24"/>
          <w:szCs w:val="24"/>
          <w:lang w:eastAsia="ru-RU"/>
        </w:rPr>
        <w:t>одов.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EE2783" w:rsidRPr="00EE2783" w:rsidRDefault="00EE2783" w:rsidP="00EE2783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Предприятия и </w:t>
            </w:r>
          </w:p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Размеры санитарно-защитных зон, метров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EE2783" w:rsidRPr="00EE2783" w:rsidTr="00EE2783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783" w:rsidRPr="00EE2783" w:rsidRDefault="00EE2783" w:rsidP="00EE2783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27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1000</w:t>
            </w:r>
          </w:p>
        </w:tc>
      </w:tr>
    </w:tbl>
    <w:p w:rsidR="00EE2783" w:rsidRPr="00EE2783" w:rsidRDefault="00EE2783" w:rsidP="00EE2783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oftHyphen/>
        <w:t>сятся к сооружениям, размещаемым на песчаных грунтах.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100 метров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50 метров</w:t>
        </w:r>
      </w:smartTag>
    </w:p>
    <w:p w:rsidR="00EE2783" w:rsidRPr="00EE2783" w:rsidRDefault="00EE2783" w:rsidP="00EE2783">
      <w:pPr>
        <w:shd w:val="clear" w:color="auto" w:fill="FFFFFF"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8.1. Общие требования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области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8.2. Нормативы по отводу поверхностных вод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 километра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8.2.2. Отвод поверхностных вод следует осуществлять со всего бассейна (стоки в водоемы, водостоки, овраги и т.п.) в соответствии с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32.13330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0,5 метра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СНиП 2.06.15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EE2783">
        <w:rPr>
          <w:rFonts w:ascii="Arial" w:eastAsia="Times New Roman" w:hAnsi="Arial" w:cs="Arial"/>
          <w:sz w:val="24"/>
          <w:szCs w:val="24"/>
          <w:lang w:eastAsia="ru-RU"/>
        </w:rPr>
        <w:t>СП 58.13330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 местным нормативам градостроительного проектирования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1" w:name="_Toc297163353"/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                              ОСНОВНЫЕ ТЕРМИНЫ И ОПРЕДЕЛЕНИЯ</w:t>
      </w:r>
      <w:bookmarkEnd w:id="31"/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Генеральный план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Градостроительная деятельность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Устойчивое развитие территорий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Правила землепользования и застройки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Территориальное планирование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Функциональное зонирование территории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Функциональные зоны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Зоны с особыми условиями использования территорий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Градостроительное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зонирование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Территориальные зоны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Градостроительный регламент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Территории общего пользования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Строительство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Реконструкция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Инженерные изыскания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Социально гарантированные условия жизнедеятельности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Земельный участок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Элемент планировочной структуры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Улица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Дорога (городская)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Пешеходная зона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Плотность застройки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Суммарная поэтажная площадь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Коэффициент застройки (Кз)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Коэффициент плотности застройки (Кпз)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Озелененные территории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Коэффициент озеленения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Квартал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Стоянка для автомобилей (автостоянка)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Надземная автостоянка закрытого типа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Автостоянка открытого типа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Гостевые стоянки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2" w:name="_Toc297163354"/>
      <w:bookmarkStart w:id="33" w:name="_Toc277843043"/>
      <w:bookmarkStart w:id="34" w:name="_Toc277842805"/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линий градостроительного регулирования</w:t>
      </w:r>
      <w:bookmarkEnd w:id="32"/>
      <w:bookmarkEnd w:id="33"/>
      <w:bookmarkEnd w:id="34"/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Красные линии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Линии застройки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Отступ застройки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полосы отвода железных дорог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полосы отвода автомобильных дорог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водоохранных зон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прибрежных зон (полос)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зон санитарной охраны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границы зоны II пояса санитарной охраны - границы территории, непосредственно окружающей не только источники, но и их притоки, на которой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 режим ограничения строительства и хозяйственного пользования земель и водных объектов;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Границы санитарно-защитных зон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местным нормативам градостроительного проектирования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ЗАКОНОДАТЕЛЬНЫХ И НОРМАТИВНЫХ ДОКУМЕНТОВ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Федеральные законы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2003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2004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188-ФЗ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1999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1992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2395-1 «О недрах» 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52-ФЗ «О животном мире»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174-ФЗ «Об экологической экспертизе»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2003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2007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EE2783">
          <w:rPr>
            <w:rFonts w:ascii="Arial" w:eastAsia="Times New Roman" w:hAnsi="Arial" w:cs="Arial"/>
            <w:color w:val="000000"/>
            <w:spacing w:val="-2"/>
            <w:sz w:val="24"/>
            <w:szCs w:val="24"/>
            <w:lang w:eastAsia="ru-RU"/>
          </w:rPr>
          <w:t>1998 г</w:t>
        </w:r>
      </w:smartTag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. № 28-ФЗ «О гражданской обороне»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1994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1996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1998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1996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8-ФЗ «О погребении и похоронном деле» 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1999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69-ФЗ «О газоснабжении в Российской Федерации»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Нормативные правовые акты Российской Федерации</w:t>
      </w:r>
    </w:p>
    <w:p w:rsidR="00EE2783" w:rsidRPr="00EE2783" w:rsidRDefault="00EE2783" w:rsidP="00EE2783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1992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EE2783" w:rsidRPr="00EE2783" w:rsidRDefault="00EE2783" w:rsidP="00EE2783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1996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EE2783" w:rsidRPr="00EE2783" w:rsidRDefault="00EE2783" w:rsidP="00EE2783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1994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315 «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2006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2006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2006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EE2783" w:rsidRPr="00EE2783" w:rsidRDefault="00EE2783" w:rsidP="00EE2783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1996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1063-р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2009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17 «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2009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1995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EE2783" w:rsidRPr="00EE2783" w:rsidRDefault="00EE2783" w:rsidP="00EE27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35" w:name="_Toc277842807"/>
      <w:bookmarkStart w:id="36" w:name="_Toc277843045"/>
      <w:bookmarkStart w:id="37" w:name="_Toc297163357"/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1999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5"/>
      <w:bookmarkEnd w:id="36"/>
      <w:bookmarkEnd w:id="37"/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ЗАКОНОДАТЕЛЬСТВО ВОРОНЕЖСКОЙ ОБЛАСТИ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ДОКУМЕНТЫ ВОРОНЕЖСКОЙ ОБЛАСТИ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2007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338 «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9-п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82-п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25-п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66-п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11-п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Региональный норматив градостроительного проектирования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»,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2008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11-п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2010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132</w:t>
      </w:r>
    </w:p>
    <w:p w:rsidR="00EE2783" w:rsidRPr="00EE2783" w:rsidRDefault="00EE2783" w:rsidP="00EE2783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38" w:name="_Toc277842808"/>
      <w:bookmarkStart w:id="39" w:name="_Toc277843046"/>
      <w:bookmarkStart w:id="40" w:name="_Toc297163358"/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2010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N 133</w:t>
      </w:r>
      <w:bookmarkEnd w:id="38"/>
      <w:bookmarkEnd w:id="39"/>
      <w:bookmarkEnd w:id="40"/>
    </w:p>
    <w:p w:rsidR="00EE2783" w:rsidRPr="00EE2783" w:rsidRDefault="00EE2783" w:rsidP="00EE278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2011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99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EE2783"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t>2011 г</w:t>
        </w:r>
      </w:smartTag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N 98</w:t>
      </w:r>
    </w:p>
    <w:p w:rsidR="00EE2783" w:rsidRPr="00EE2783" w:rsidRDefault="00EE2783" w:rsidP="00EE278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2011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N 97</w:t>
      </w:r>
    </w:p>
    <w:p w:rsidR="00EE2783" w:rsidRPr="00EE2783" w:rsidRDefault="00EE2783" w:rsidP="00EE278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НАЦИОНАЛЬНЫЕ СТАНДАРТЫ И СВОДЫ ПРАВИЛ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2010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№ 1047-р) </w:t>
      </w:r>
    </w:p>
    <w:p w:rsidR="00EE2783" w:rsidRPr="00EE2783" w:rsidRDefault="00EE2783" w:rsidP="00EE278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2.07.01 - 89* "Градостроительство. Планировка и застройка городских и сельских поселений". Разделы 1 - 5, 6 (пункты 6.1 - 6.41, таблица 10*), 7 - 9; приложение 2.</w:t>
      </w:r>
    </w:p>
    <w:p w:rsidR="00EE2783" w:rsidRPr="00EE2783" w:rsidRDefault="00EE2783" w:rsidP="00EE278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31 - 02 - 2001 "Дома жилые одноквартирные". Разделы 4, 5, 7 - 9.</w:t>
      </w:r>
    </w:p>
    <w:p w:rsidR="00EE2783" w:rsidRPr="00EE2783" w:rsidRDefault="00EE2783" w:rsidP="00EE2783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31 - 01 - 2003 "Здания жилые многоквартирные". Разделы 4 (пункты 4.1, 4.4 - 4.9, 4.16, 4.17), 5, 6, 8 (пункты 8.1 - 8.11, 8.13, 8.14), 9 - 11.</w:t>
      </w:r>
    </w:p>
    <w:p w:rsidR="00EE2783" w:rsidRPr="00EE2783" w:rsidRDefault="00EE2783" w:rsidP="00EE278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31 - 06 - 2009 "Общественные здания и сооружения". Разделы 3 (пункты 3.1 - 3.13, 3.15 - 3.20, абзац первый пункта 3.21, пункты 3.22 - 3.25), 4, 5 (пункты 5.1 - 5.19, 5.30 - 5.32, 5.34 - 5.40), 7 - 9.</w:t>
      </w:r>
    </w:p>
    <w:p w:rsidR="00EE2783" w:rsidRPr="00EE2783" w:rsidRDefault="00EE2783" w:rsidP="00EE278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СНиП 2.09.04 - 87* "Административные и бытовые здания". Разделы 1 (пункты 1.1*, 1.2, 1.4, 1.5, 1.8 - 1.11, 1.13), 2 (пункты 2.1* - 2.34, 2.37 - 2.52*), 3.</w:t>
      </w:r>
    </w:p>
    <w:p w:rsidR="00EE2783" w:rsidRPr="00EE2783" w:rsidRDefault="00EE2783" w:rsidP="00EE2783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31 - 05 - 2003 "Общественные здания административного назначения". 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II - 97 - 76 "Генеральные планы сельскохозяйственных предприятий". Разделы 1, 2, 3 (пункты 3.1 - 3.19, 3.21 - 3.23, 3.25), 4 (пункты 4.1 - 4.4, 4.6 - 4.12, 4.17), 5, 6.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2.10.02 - 84 "Здания и помещения для хранения и переработки сельскохозяйственной продукции". Разделы 1 (пункты 1.1, 1.3* - 1.8*), 2 (пункты 2.1 - 2.6, 2.9* - 2.18, 2.20* - 2.23), 3 (пункты 3.2* - 3.13), 4.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Разделы 1 (пункты 1.2 - 1.5, 1.7), 2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II - 108 - 78 "Склады сухих минеральных удобрений и химических средств защиты растений". 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Разделы 1 (пункты 1.1, 1.5), </w:t>
      </w:r>
      <w:r w:rsidRPr="00EE2783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2.10.04 - 85 "Теплицы и парники". Разделы 1 (пункты 1.2 - 1.6), 2, 3, 4 (пункты 4.2 - 4.18), 5; приложения 1, 2.</w:t>
      </w:r>
    </w:p>
    <w:p w:rsidR="00EE2783" w:rsidRPr="00EE2783" w:rsidRDefault="00EE2783" w:rsidP="00EE2783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30 - 02 - 97* "Планировка и застройка территорий садоводческих (дачных) объединений граждан, здания и сооружения". Разделы 4 (пункты 4.1* - 4.6*, 4.9*), 5 (пункты 5.1* - 5.6*, 5.10* - 5.13*), 6 (пункты 6.1* - 6.4*, 6.6* - 6.13), 7 , 8 (пункты 8.1* - 8.4*, 8.6 - 8.16*).</w:t>
      </w:r>
    </w:p>
    <w:p w:rsidR="00EE2783" w:rsidRPr="00EE2783" w:rsidRDefault="00EE2783" w:rsidP="00EE278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31 - 03 - 2001 "Производственные здания". Разделы 4 (пункты 4.2, 4.3, 4.5), 5 (пункты 5.2, 5.4, 5.6 - 5.8, 5.10 - 5.16).</w:t>
      </w:r>
    </w:p>
    <w:p w:rsidR="00EE2783" w:rsidRPr="00EE2783" w:rsidRDefault="00EE2783" w:rsidP="00EE278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II - 89 - 80* "Генеральные планы промышленных предприятий". Разделы 2, 3 (пункты 3.1*, 3.3* - 3.31, 3.38 - 3.42, 3.45,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EE2783" w:rsidRPr="00EE2783" w:rsidRDefault="00EE2783" w:rsidP="00EE278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2.09.03 - 85 "Сооружения промышленных предприятий". 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EE2783" w:rsidRPr="00EE2783" w:rsidRDefault="00EE2783" w:rsidP="00EE2783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31 - 04 - 2001 "Складские здания". Разделы 4 (пункты 4.5, 4.7), 5 (пункты 5.1 - 5.8, 5.10 - 5.20).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правовых актов Российской Федерации и нормативных технических документов в области промышленной безопасности.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2.05.06 - 85* "Магистральные трубопроводы". 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34 - 02 - 99 "Подземные хранилища газа, нефти и продуктов их переработки". Разделы 3 (пункты 3.1 - 3.5, 3.7, 3.8, 3.10 - 3.13, 3.15), 4, 5 (пункты 5.1, 5.2, 5.4 - 5.7), 6, 9.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42 - 01 - 2002 "Газораспределительные системы". 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II - 35 - 76 "Котельные установки". Разделы 1 (пункты 1.1 - 1.22*), 2 (абзацы первый, второй, четвертый - шестой пункта 2.4*, пункты 2.5, 2.6, 2.8 - 2.13), 3 (пункты 3.2 -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41 - 02 - 2003 "Тепловые сети". Разделы 9, 10, 12, 15, 16.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воздуха". 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2.04.02 - 84* "Водоснабжение. Наружные сети и сооружения". 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EE2783" w:rsidRPr="00EE2783" w:rsidRDefault="00EE2783" w:rsidP="00EE2783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EE2783" w:rsidRPr="00EE2783" w:rsidRDefault="00EE2783" w:rsidP="00EE278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EE2783" w:rsidRPr="00EE2783" w:rsidRDefault="00EE2783" w:rsidP="00EE278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EE2783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EE2783" w:rsidRPr="00EE2783" w:rsidRDefault="00EE2783" w:rsidP="00EE278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3.06.03 - 85 "Автомобильные дороги". Разделы 1 - 6.</w:t>
      </w:r>
    </w:p>
    <w:p w:rsidR="00EE2783" w:rsidRPr="00EE2783" w:rsidRDefault="00EE2783" w:rsidP="00EE278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21 - 02 - 99* "Стоянки автомобилей". Разделы 4 (пункт 4.2), 5 (пункты 5.2, 5.7, 5.10, 5.11, 5.23 - 5.30, 5.48), 6 (пункты 6.10 - 6.13).</w:t>
      </w:r>
    </w:p>
    <w:p w:rsidR="00EE2783" w:rsidRPr="00EE2783" w:rsidRDefault="00EE2783" w:rsidP="00EE2783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EE2783" w:rsidRPr="00EE2783" w:rsidRDefault="00EE2783" w:rsidP="00EE278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EE2783" w:rsidRPr="00EE2783" w:rsidRDefault="00EE2783" w:rsidP="00EE278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EE2783" w:rsidRPr="00EE2783" w:rsidRDefault="00EE2783" w:rsidP="00EE278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EE2783" w:rsidRPr="00EE2783" w:rsidRDefault="00EE2783" w:rsidP="00EE278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EE2783" w:rsidRPr="00EE2783" w:rsidRDefault="00EE2783" w:rsidP="00EE2783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2.02.01 - 83* "Основания зданий и сооружений". 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EE2783" w:rsidRPr="00EE2783" w:rsidRDefault="00EE2783" w:rsidP="00EE2783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EE2783" w:rsidRPr="00EE2783" w:rsidRDefault="00EE2783" w:rsidP="00EE2783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Разделы 3 (пункты 3.1 - 3.37, 3.39, 3.52 - 3.72), 4 (пункты 4.1 - 4.10, 4.12 - 4.21, 4.23 - 4.32). </w:t>
      </w:r>
    </w:p>
    <w:p w:rsidR="00EE2783" w:rsidRPr="00EE2783" w:rsidRDefault="00EE2783" w:rsidP="00EE278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23 - 05 - 95* "Естественное и искусственное освещение". Разделы 4 - 6, 7 (пункты 7.1 - 7.51, 7.53 - 7.73, 7.76, 7.79 - 7.81), 8 - 13; приложение К.</w:t>
      </w:r>
    </w:p>
    <w:p w:rsidR="00EE2783" w:rsidRPr="00EE2783" w:rsidRDefault="00EE2783" w:rsidP="00EE278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EE2783" w:rsidRPr="00EE2783" w:rsidRDefault="00EE2783" w:rsidP="00EE278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EE2783" w:rsidRPr="00EE2783" w:rsidRDefault="00EE2783" w:rsidP="00EE2783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 23 - 03 - 2003 "Защита от шума". Разделы 4 - 13.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ГОСТ 17.5.3.04-83* Охрана природы. Земли. Общие требования к рекультивации земель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 Р 52289-2004*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II-11-77* Защитные сооружения гражданской обороны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 II-35-76* Котельные установки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II-58-75 Электростанции тепловые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-10-75 Благоустройство территории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EE2783" w:rsidRPr="00EE2783" w:rsidRDefault="00EE2783" w:rsidP="00EE278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СНиП 31-04-2001 Складские здания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Пособия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Пособие к СНиП II-60-75*. Пособие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   </w:t>
      </w:r>
      <w:r w:rsidRPr="00EE2783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КиевНИИП градостроительства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1983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Пособие к СНиП II-85-80 Пособие по проектированию вокзалов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1983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1984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EE2783">
          <w:rPr>
            <w:rFonts w:ascii="Arial" w:eastAsia="Times New Roman" w:hAnsi="Arial" w:cs="Arial"/>
            <w:bCs/>
            <w:color w:val="000000"/>
            <w:sz w:val="24"/>
            <w:szCs w:val="24"/>
            <w:lang w:eastAsia="ru-RU"/>
          </w:rPr>
          <w:t>1990 г</w:t>
        </w:r>
      </w:smartTag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1991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Пособия к СНиП 2.08.02-89*: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1986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1989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E2783">
          <w:rPr>
            <w:rFonts w:ascii="Arial" w:eastAsia="Times New Roman" w:hAnsi="Arial" w:cs="Arial"/>
            <w:color w:val="000000"/>
            <w:spacing w:val="-2"/>
            <w:sz w:val="24"/>
            <w:szCs w:val="24"/>
            <w:lang w:eastAsia="ru-RU"/>
          </w:rPr>
          <w:t>1991 г</w:t>
        </w:r>
      </w:smartTag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1991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1992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1992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1991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1992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1991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2000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Своды правил по проектированию и строительству (СП)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31-112-2004(1) Физкультурно-спортивные залы. Часть 1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31-112-2004(2) Физкультурно-спортивные залы. Часть 2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31-113-2004 Бассейны для плавания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33-101-2003 Определение основных расчетных гидрологических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характеристик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EE2783" w:rsidRPr="00EE2783" w:rsidRDefault="00EE2783" w:rsidP="00EE2783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Строительные нормы (СН)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461-74 Нормы отвода земель для линий связи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467-74 Нормы отвода земель для автомобильных дорог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Ведомственные строительные нормы (ВСН)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ВСН 01-89 Предприятия по обслуживанию автомобилей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Отраслевые нормы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САНИТАРНЫЕ ПРАВИЛА И НОРМЫ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(САНПИН)</w:t>
      </w:r>
    </w:p>
    <w:p w:rsidR="00EE2783" w:rsidRPr="00EE2783" w:rsidRDefault="00EE2783" w:rsidP="00EE278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1.2.1077-01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EE2783" w:rsidRPr="00EE2783" w:rsidRDefault="00EE2783" w:rsidP="00EE278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2.1.1279-03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зданий и сооружений похоронного назначения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СанПиН 2.1.2.1002-00 Санитарно-эпидемиологические требования к жилым зданиям и помещениям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2.4.1.1249-03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2.4.990-00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2.4.2.1178-03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СанПиН 2.4.5.2409-08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2.4.3.1186-03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2.4.3.2201-07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2.4.5.2409-08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2.4.3.2554-09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СанПиН 2.4.4.1251-03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Санитарно-эпидемиологические требования к учреждениям дополнительного образования детей (внешкольные учреждения).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2.4.4.1204-03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42-125-4437-87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42-125-4270-87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2.1.4.1074-01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2.1.4.2496-09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 01.09.2009г.).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СанПиН 2.1.7.573-96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2.1.8/2.2.4.1190-03</w:t>
      </w: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СанПиН 2.1.7.728-99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2.1.8/2.2.4.1383-03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Санитарные нормы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(СН)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Санитарные правила</w:t>
      </w:r>
      <w:r w:rsidRPr="00EE27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(СП)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СП 2.6.1.758-99 (НРБ-99) Нормы радиационной безопасности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 2524-82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 1896-78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 1216-75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 1049-73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E2783" w:rsidRPr="00EE2783" w:rsidRDefault="00EE2783" w:rsidP="00EE278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EE2783" w:rsidRPr="00EE2783" w:rsidRDefault="00EE2783" w:rsidP="00EE2783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 42-121-4719-88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 3215-85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 1567-76 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СП 2.4.4.969-00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41" w:name="_Toc297163359"/>
      <w:bookmarkStart w:id="42" w:name="_Toc277843047"/>
      <w:bookmarkStart w:id="43" w:name="_Toc277842809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>Гигиенические нормативы (ГН)</w:t>
      </w:r>
      <w:bookmarkEnd w:id="41"/>
      <w:bookmarkEnd w:id="42"/>
      <w:bookmarkEnd w:id="43"/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44" w:name="_Toc297163360"/>
      <w:bookmarkStart w:id="45" w:name="_Toc277843048"/>
      <w:bookmarkStart w:id="46" w:name="_Toc277842810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4"/>
      <w:bookmarkEnd w:id="45"/>
      <w:bookmarkEnd w:id="46"/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2"/>
          <w:sz w:val="24"/>
          <w:szCs w:val="24"/>
          <w:lang w:eastAsia="ru-RU"/>
        </w:rPr>
      </w:pPr>
      <w:bookmarkStart w:id="47" w:name="_Toc297163361"/>
      <w:bookmarkStart w:id="48" w:name="_Toc277843049"/>
      <w:bookmarkStart w:id="49" w:name="_Toc277842811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lastRenderedPageBreak/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7"/>
      <w:bookmarkEnd w:id="48"/>
      <w:bookmarkEnd w:id="49"/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50" w:name="_Toc297163362"/>
      <w:bookmarkStart w:id="51" w:name="_Toc277843050"/>
      <w:bookmarkStart w:id="52" w:name="_Toc277842812"/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50"/>
      <w:bookmarkEnd w:id="51"/>
      <w:bookmarkEnd w:id="52"/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</w:pPr>
      <w:bookmarkStart w:id="53" w:name="_Toc297163363"/>
      <w:bookmarkStart w:id="54" w:name="_Toc277843051"/>
      <w:bookmarkStart w:id="55" w:name="_Toc277842813"/>
      <w:r w:rsidRPr="00EE2783">
        <w:rPr>
          <w:rFonts w:ascii="Arial" w:eastAsia="Times New Roman" w:hAnsi="Arial" w:cs="Arial"/>
          <w:b/>
          <w:bCs/>
          <w:color w:val="000000"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EE278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3"/>
      <w:bookmarkEnd w:id="54"/>
      <w:bookmarkEnd w:id="55"/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Руководящие документы (РД, СО)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Руководящие документы в строительстве (РДС)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Методические документы в строительстве (МДС)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МДС 32-1.2000 Рекомендации по проектированию вокзалов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aps/>
          <w:color w:val="000000"/>
          <w:spacing w:val="-2"/>
          <w:sz w:val="24"/>
          <w:szCs w:val="24"/>
          <w:lang w:eastAsia="ru-RU"/>
        </w:rPr>
        <w:t xml:space="preserve">МДС 35-1.2000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aps/>
          <w:color w:val="000000"/>
          <w:spacing w:val="-2"/>
          <w:sz w:val="24"/>
          <w:szCs w:val="24"/>
          <w:lang w:eastAsia="ru-RU"/>
        </w:rPr>
        <w:t xml:space="preserve">МДС 35-2.2000 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E2783" w:rsidRPr="00EE2783" w:rsidRDefault="00EE2783" w:rsidP="00EE2783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Нормы и правила пожарной безопасности (ППБ, НПБ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EE2783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6.13130.2009 Системы противопожарной защиты. Электрооборудование. </w:t>
      </w: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 пожарной безопасности.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9.13130.2009 Техника пожарная. Огнетушители.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Правила безопасности (ПБ)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Другие документы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EE278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2000 г</w:t>
        </w:r>
      </w:smartTag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878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EE2783" w:rsidRPr="00EE2783" w:rsidRDefault="00EE2783" w:rsidP="00EE2783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27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p w:rsidR="00EE2783" w:rsidRPr="00EE2783" w:rsidRDefault="00EE2783" w:rsidP="00EE2783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783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EE2783" w:rsidRPr="00EE2783" w:rsidRDefault="00EE2783" w:rsidP="00EE2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2783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76.95pt;height:.75pt" o:hrpct="330" o:hrstd="t" o:hr="t" fillcolor="#a0a0a0" stroked="f"/>
        </w:pict>
      </w:r>
    </w:p>
    <w:p w:rsidR="00923271" w:rsidRDefault="00923271"/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8B" w:rsidRDefault="00DE078B" w:rsidP="00EE2783">
      <w:pPr>
        <w:spacing w:after="0" w:line="240" w:lineRule="auto"/>
      </w:pPr>
      <w:r>
        <w:separator/>
      </w:r>
    </w:p>
  </w:endnote>
  <w:endnote w:type="continuationSeparator" w:id="0">
    <w:p w:rsidR="00DE078B" w:rsidRDefault="00DE078B" w:rsidP="00EE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8B" w:rsidRDefault="00DE078B" w:rsidP="00EE2783">
      <w:pPr>
        <w:spacing w:after="0" w:line="240" w:lineRule="auto"/>
      </w:pPr>
      <w:r>
        <w:separator/>
      </w:r>
    </w:p>
  </w:footnote>
  <w:footnote w:type="continuationSeparator" w:id="0">
    <w:p w:rsidR="00DE078B" w:rsidRDefault="00DE078B" w:rsidP="00EE2783">
      <w:pPr>
        <w:spacing w:after="0" w:line="240" w:lineRule="auto"/>
      </w:pPr>
      <w:r>
        <w:continuationSeparator/>
      </w:r>
    </w:p>
  </w:footnote>
  <w:footnote w:id="1">
    <w:p w:rsidR="00EE2783" w:rsidRDefault="00EE2783" w:rsidP="00EE2783">
      <w:pPr>
        <w:pStyle w:val="a6"/>
        <w:tabs>
          <w:tab w:val="left" w:pos="708"/>
        </w:tabs>
        <w:rPr>
          <w:rFonts w:cs="Arial"/>
        </w:rPr>
      </w:pPr>
      <w:r>
        <w:rPr>
          <w:rStyle w:val="aff0"/>
          <w:rFonts w:cs="Arial"/>
        </w:rPr>
        <w:footnoteRef/>
      </w:r>
      <w:r>
        <w:rPr>
          <w:rStyle w:val="aff0"/>
          <w:rFonts w:cs="Arial"/>
        </w:rPr>
        <w:t>[1]</w:t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12"/>
    <w:rsid w:val="00006C12"/>
    <w:rsid w:val="00923271"/>
    <w:rsid w:val="00DE078B"/>
    <w:rsid w:val="00E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145A0-C39A-4D43-8A5A-5386160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E278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EE278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E278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E278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E278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E27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EE27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E278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E2783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2783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EE2783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E2783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EE27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EE278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E27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EE278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E2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EE278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E278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278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E278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EE2783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EE2783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EE2783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E27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E2783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E278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E2783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EE27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EE2783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"/>
    <w:uiPriority w:val="99"/>
    <w:semiHidden/>
    <w:unhideWhenUsed/>
    <w:rsid w:val="00EE27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EE27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EE27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E278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E2783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E278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E2783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E2783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2783"/>
    <w:rPr>
      <w:rFonts w:ascii="Arial" w:eastAsia="Times New Roman" w:hAnsi="Arial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EE278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E2783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EE2783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E278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E2783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EE27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783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EE2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semiHidden/>
    <w:rsid w:val="00EE27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semiHidden/>
    <w:locked/>
    <w:rsid w:val="00EE2783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E2783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Cell">
    <w:name w:val="ConsCell"/>
    <w:semiHidden/>
    <w:rsid w:val="00EE27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semiHidden/>
    <w:rsid w:val="00EE2783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semiHidden/>
    <w:rsid w:val="00EE2783"/>
    <w:pPr>
      <w:widowControl w:val="0"/>
      <w:snapToGrid w:val="0"/>
      <w:spacing w:after="0" w:line="254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semiHidden/>
    <w:locked/>
    <w:rsid w:val="00EE2783"/>
    <w:rPr>
      <w:szCs w:val="24"/>
    </w:rPr>
  </w:style>
  <w:style w:type="paragraph" w:customStyle="1" w:styleId="S2">
    <w:name w:val="S_Маркированный"/>
    <w:basedOn w:val="af"/>
    <w:link w:val="S1"/>
    <w:autoRedefine/>
    <w:semiHidden/>
    <w:rsid w:val="00EE2783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semiHidden/>
    <w:locked/>
    <w:rsid w:val="00EE2783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semiHidden/>
    <w:rsid w:val="00EE2783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semiHidden/>
    <w:locked/>
    <w:rsid w:val="00EE2783"/>
    <w:rPr>
      <w:szCs w:val="24"/>
    </w:rPr>
  </w:style>
  <w:style w:type="paragraph" w:customStyle="1" w:styleId="S6">
    <w:name w:val="S_Обычный в таблице"/>
    <w:basedOn w:val="a"/>
    <w:link w:val="S5"/>
    <w:semiHidden/>
    <w:rsid w:val="00EE2783"/>
    <w:pPr>
      <w:spacing w:after="0" w:line="240" w:lineRule="auto"/>
      <w:ind w:firstLine="567"/>
      <w:jc w:val="center"/>
    </w:pPr>
    <w:rPr>
      <w:szCs w:val="24"/>
    </w:rPr>
  </w:style>
  <w:style w:type="paragraph" w:customStyle="1" w:styleId="Heading">
    <w:name w:val="Heading"/>
    <w:semiHidden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semiHidden/>
    <w:rsid w:val="00EE2783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itle">
    <w:name w:val="Title!Название НПА"/>
    <w:basedOn w:val="a"/>
    <w:semiHidden/>
    <w:rsid w:val="00EE27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imbox1">
    <w:name w:val="imbox1"/>
    <w:basedOn w:val="a"/>
    <w:semiHidden/>
    <w:rsid w:val="00EE2783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semiHidden/>
    <w:rsid w:val="00EE2783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1">
    <w:name w:val="toclevel-31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semiHidden/>
    <w:rsid w:val="00EE2783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fd">
    <w:name w:val="Обычный.Название подразделения"/>
    <w:semiHidden/>
    <w:rsid w:val="00EE2783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afe">
    <w:name w:val="Знак"/>
    <w:basedOn w:val="a"/>
    <w:semiHidden/>
    <w:rsid w:val="00EE2783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5">
    <w:name w:val="2Название Знак"/>
    <w:link w:val="26"/>
    <w:semiHidden/>
    <w:locked/>
    <w:rsid w:val="00EE2783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semiHidden/>
    <w:qFormat/>
    <w:rsid w:val="00EE2783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ConsPlusDocList">
    <w:name w:val="ConsPlusDocList"/>
    <w:semiHidden/>
    <w:rsid w:val="00EE2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semiHidden/>
    <w:rsid w:val="00EE27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EE2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">
    <w:name w:val="Примечание"/>
    <w:basedOn w:val="a"/>
    <w:semiHidden/>
    <w:qFormat/>
    <w:rsid w:val="00EE278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310">
    <w:name w:val="Основной текст с отступом 31"/>
    <w:basedOn w:val="a"/>
    <w:semiHidden/>
    <w:rsid w:val="00EE2783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customStyle="1" w:styleId="formattext">
    <w:name w:val="formattext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примечания1"/>
    <w:basedOn w:val="a"/>
    <w:semiHidden/>
    <w:rsid w:val="00EE2783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E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EE27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8">
    <w:name w:val="заголовок 8"/>
    <w:basedOn w:val="a"/>
    <w:next w:val="a"/>
    <w:semiHidden/>
    <w:rsid w:val="00EE2783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semiHidden/>
    <w:rsid w:val="00EE278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EE278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EE278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EE278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0">
    <w:name w:val="footnote reference"/>
    <w:basedOn w:val="a0"/>
    <w:uiPriority w:val="99"/>
    <w:semiHidden/>
    <w:unhideWhenUsed/>
    <w:rsid w:val="00EE2783"/>
    <w:rPr>
      <w:vertAlign w:val="superscript"/>
    </w:rPr>
  </w:style>
  <w:style w:type="character" w:customStyle="1" w:styleId="spelle">
    <w:name w:val="spelle"/>
    <w:basedOn w:val="a0"/>
    <w:rsid w:val="00EE2783"/>
  </w:style>
  <w:style w:type="character" w:customStyle="1" w:styleId="grame">
    <w:name w:val="grame"/>
    <w:basedOn w:val="a0"/>
    <w:rsid w:val="00EE2783"/>
  </w:style>
  <w:style w:type="character" w:customStyle="1" w:styleId="subcaption">
    <w:name w:val="subcaption"/>
    <w:basedOn w:val="a0"/>
    <w:rsid w:val="00EE2783"/>
  </w:style>
  <w:style w:type="character" w:customStyle="1" w:styleId="subcaption1">
    <w:name w:val="subcaption1"/>
    <w:basedOn w:val="a0"/>
    <w:rsid w:val="00EE2783"/>
    <w:rPr>
      <w:b w:val="0"/>
      <w:bCs w:val="0"/>
      <w:sz w:val="19"/>
      <w:szCs w:val="19"/>
    </w:rPr>
  </w:style>
  <w:style w:type="character" w:customStyle="1" w:styleId="mw-editsection1">
    <w:name w:val="mw-editsection1"/>
    <w:basedOn w:val="a0"/>
    <w:rsid w:val="00EE2783"/>
  </w:style>
  <w:style w:type="character" w:customStyle="1" w:styleId="mw-editsection-bracket">
    <w:name w:val="mw-editsection-bracket"/>
    <w:basedOn w:val="a0"/>
    <w:rsid w:val="00EE2783"/>
  </w:style>
  <w:style w:type="character" w:customStyle="1" w:styleId="mw-editsection-divider1">
    <w:name w:val="mw-editsection-divider1"/>
    <w:basedOn w:val="a0"/>
    <w:rsid w:val="00EE2783"/>
    <w:rPr>
      <w:color w:val="555555"/>
    </w:rPr>
  </w:style>
  <w:style w:type="character" w:customStyle="1" w:styleId="toctoggle">
    <w:name w:val="toctoggle"/>
    <w:basedOn w:val="a0"/>
    <w:rsid w:val="00EE2783"/>
  </w:style>
  <w:style w:type="character" w:customStyle="1" w:styleId="tocnumber2">
    <w:name w:val="tocnumber2"/>
    <w:basedOn w:val="a0"/>
    <w:rsid w:val="00EE2783"/>
  </w:style>
  <w:style w:type="character" w:customStyle="1" w:styleId="toctext">
    <w:name w:val="toctext"/>
    <w:basedOn w:val="a0"/>
    <w:rsid w:val="00EE2783"/>
  </w:style>
  <w:style w:type="character" w:customStyle="1" w:styleId="mw-headline">
    <w:name w:val="mw-headline"/>
    <w:basedOn w:val="a0"/>
    <w:rsid w:val="00EE2783"/>
  </w:style>
  <w:style w:type="character" w:customStyle="1" w:styleId="reference-text">
    <w:name w:val="reference-text"/>
    <w:basedOn w:val="a0"/>
    <w:rsid w:val="00EE2783"/>
  </w:style>
  <w:style w:type="character" w:customStyle="1" w:styleId="mw-cite-backlink">
    <w:name w:val="mw-cite-backlink"/>
    <w:basedOn w:val="a0"/>
    <w:rsid w:val="00EE2783"/>
  </w:style>
  <w:style w:type="character" w:customStyle="1" w:styleId="cite-accessibility-label1">
    <w:name w:val="cite-accessibility-label1"/>
    <w:basedOn w:val="a0"/>
    <w:rsid w:val="00EE2783"/>
    <w:rPr>
      <w:bdr w:val="none" w:sz="0" w:space="0" w:color="auto" w:frame="1"/>
    </w:rPr>
  </w:style>
  <w:style w:type="character" w:customStyle="1" w:styleId="citation">
    <w:name w:val="citation"/>
    <w:basedOn w:val="a0"/>
    <w:rsid w:val="00EE2783"/>
  </w:style>
  <w:style w:type="character" w:customStyle="1" w:styleId="noprint">
    <w:name w:val="noprint"/>
    <w:basedOn w:val="a0"/>
    <w:rsid w:val="00EE278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2783"/>
    <w:pPr>
      <w:pBdr>
        <w:bottom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E278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2783"/>
    <w:pPr>
      <w:pBdr>
        <w:top w:val="single" w:sz="6" w:space="1" w:color="auto"/>
      </w:pBdr>
      <w:spacing w:after="0" w:line="240" w:lineRule="auto"/>
      <w:ind w:firstLine="567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E27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uls-settings-trigger3">
    <w:name w:val="uls-settings-trigger3"/>
    <w:basedOn w:val="a0"/>
    <w:rsid w:val="00EE2783"/>
  </w:style>
  <w:style w:type="character" w:customStyle="1" w:styleId="wb-langlinks-edit">
    <w:name w:val="wb-langlinks-edit"/>
    <w:basedOn w:val="a0"/>
    <w:rsid w:val="00EE2783"/>
  </w:style>
  <w:style w:type="character" w:customStyle="1" w:styleId="110">
    <w:name w:val="Знак Знак11"/>
    <w:rsid w:val="00EE2783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1">
    <w:name w:val="Буквица"/>
    <w:rsid w:val="00EE2783"/>
    <w:rPr>
      <w:lang w:val="ru-RU"/>
    </w:rPr>
  </w:style>
  <w:style w:type="character" w:customStyle="1" w:styleId="apple-converted-space">
    <w:name w:val="apple-converted-space"/>
    <w:basedOn w:val="a0"/>
    <w:rsid w:val="00EE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3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26149</Words>
  <Characters>149053</Characters>
  <Application>Microsoft Office Word</Application>
  <DocSecurity>0</DocSecurity>
  <Lines>1242</Lines>
  <Paragraphs>349</Paragraphs>
  <ScaleCrop>false</ScaleCrop>
  <Company/>
  <LinksUpToDate>false</LinksUpToDate>
  <CharactersWithSpaces>174853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2019-04-19T10:54:00Z</dcterms:created>
  <dcterms:modified xsi:type="dcterms:W3CDTF">2019-04-19T10:55:00Z</dcterms:modified>
</cp:coreProperties>
</file>