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11" w:rsidRDefault="00CD7111" w:rsidP="00CD7111">
      <w:pPr>
        <w:tabs>
          <w:tab w:val="left" w:pos="900"/>
        </w:tabs>
        <w:spacing w:line="264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D7111" w:rsidRDefault="00CD7111" w:rsidP="00CD7111">
      <w:pPr>
        <w:tabs>
          <w:tab w:val="left" w:pos="900"/>
        </w:tabs>
        <w:spacing w:line="264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 Богучарского муниципального района</w:t>
      </w:r>
    </w:p>
    <w:p w:rsidR="00CD7111" w:rsidRDefault="00CD7111" w:rsidP="00CD7111">
      <w:pPr>
        <w:tabs>
          <w:tab w:val="left" w:pos="900"/>
        </w:tabs>
        <w:spacing w:line="264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об исполнении в 2020 году Решения Совета народных депутатов Богучарского муниципального района «О бюджете Богучарского муниципального района на 2020 год и на плановый период 2021 и 2022 годов»</w:t>
      </w:r>
    </w:p>
    <w:p w:rsidR="00CD7111" w:rsidRDefault="00CD7111" w:rsidP="00CD7111">
      <w:pPr>
        <w:pStyle w:val="21"/>
        <w:spacing w:line="100" w:lineRule="atLeast"/>
        <w:jc w:val="left"/>
      </w:pPr>
    </w:p>
    <w:p w:rsidR="00CD7111" w:rsidRDefault="00CD7111" w:rsidP="00CD7111">
      <w:pPr>
        <w:pStyle w:val="21"/>
        <w:spacing w:line="100" w:lineRule="atLeast"/>
        <w:jc w:val="left"/>
      </w:pPr>
    </w:p>
    <w:p w:rsidR="00CD7111" w:rsidRDefault="00CD7111" w:rsidP="00CD7111">
      <w:pPr>
        <w:pStyle w:val="21"/>
        <w:spacing w:line="100" w:lineRule="atLeast"/>
        <w:jc w:val="left"/>
      </w:pPr>
    </w:p>
    <w:p w:rsidR="00CD7111" w:rsidRDefault="00CD7111" w:rsidP="00CD7111">
      <w:pPr>
        <w:pStyle w:val="21"/>
        <w:spacing w:line="100" w:lineRule="atLeast"/>
        <w:jc w:val="left"/>
      </w:pPr>
    </w:p>
    <w:p w:rsidR="00CD7111" w:rsidRDefault="00CD7111" w:rsidP="00CD7111">
      <w:pPr>
        <w:pStyle w:val="a3"/>
        <w:spacing w:line="100" w:lineRule="atLeast"/>
        <w:jc w:val="both"/>
        <w:rPr>
          <w:sz w:val="28"/>
        </w:rPr>
      </w:pPr>
      <w:r>
        <w:rPr>
          <w:sz w:val="28"/>
        </w:rPr>
        <w:t xml:space="preserve">г. Богучар                                                                                 апрель 2021 года </w:t>
      </w:r>
    </w:p>
    <w:p w:rsidR="00CD7111" w:rsidRDefault="00CD7111" w:rsidP="00CD7111">
      <w:pPr>
        <w:pStyle w:val="a3"/>
        <w:spacing w:line="100" w:lineRule="atLeast"/>
        <w:ind w:firstLine="680"/>
        <w:jc w:val="both"/>
        <w:rPr>
          <w:sz w:val="28"/>
        </w:rPr>
      </w:pPr>
    </w:p>
    <w:p w:rsidR="00CD7111" w:rsidRDefault="00CD7111" w:rsidP="00CD7111">
      <w:pPr>
        <w:pStyle w:val="21"/>
        <w:spacing w:line="100" w:lineRule="atLeast"/>
        <w:ind w:firstLine="690"/>
        <w:jc w:val="both"/>
        <w:rPr>
          <w:b w:val="0"/>
        </w:rPr>
      </w:pPr>
      <w:r>
        <w:rPr>
          <w:b w:val="0"/>
        </w:rPr>
        <w:t>В соответствии с Положением о ревизионной комиссии Богучарского муниципального района, с планом работы ревизионной комиссии на 2021 год, проведена проверка Финансового отдела администрации Богучарского муниципального района  по исполнению районного бюджета за 2020 год.</w:t>
      </w:r>
    </w:p>
    <w:p w:rsidR="00CD7111" w:rsidRDefault="00CD7111" w:rsidP="00CD7111">
      <w:pPr>
        <w:pStyle w:val="21"/>
        <w:spacing w:line="100" w:lineRule="atLeast"/>
        <w:ind w:firstLine="690"/>
        <w:jc w:val="both"/>
        <w:rPr>
          <w:b w:val="0"/>
        </w:rPr>
      </w:pPr>
      <w:r>
        <w:rPr>
          <w:b w:val="0"/>
        </w:rPr>
        <w:t>В соответствии со ст. 215.1 Бюджетного кодекса РФ кассовое обслуживание исполнения бюджета Богучарского муниципального района осуществляется Отделом № 3 Управления Федерального казначейства Воронежской области.</w:t>
      </w:r>
    </w:p>
    <w:p w:rsidR="00CD7111" w:rsidRDefault="00CD7111" w:rsidP="00CD7111">
      <w:pPr>
        <w:pStyle w:val="21"/>
        <w:spacing w:line="100" w:lineRule="atLeast"/>
        <w:ind w:firstLine="690"/>
        <w:jc w:val="both"/>
        <w:rPr>
          <w:b w:val="0"/>
        </w:rPr>
      </w:pPr>
      <w:proofErr w:type="gramStart"/>
      <w:r>
        <w:rPr>
          <w:b w:val="0"/>
        </w:rPr>
        <w:t>Отчет об исполнении бюджета Богучарского муниципального района за 2020 год составлен Финансовым отделом администрации Богучарского муниципального района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 н, в состав годового отчета входят формы отчетов, предусмотренные Инструкцией № 191 н и Письмом</w:t>
      </w:r>
      <w:proofErr w:type="gramEnd"/>
      <w:r>
        <w:rPr>
          <w:b w:val="0"/>
        </w:rPr>
        <w:t xml:space="preserve"> департамента финансов Воронежской области от 29.12.2018 г. № 50-11/2266 для финансовых органов.</w:t>
      </w:r>
    </w:p>
    <w:p w:rsidR="00CD7111" w:rsidRDefault="00CD7111" w:rsidP="00CD7111">
      <w:pPr>
        <w:pStyle w:val="21"/>
        <w:spacing w:line="100" w:lineRule="atLeast"/>
        <w:ind w:firstLine="690"/>
        <w:jc w:val="both"/>
        <w:rPr>
          <w:b w:val="0"/>
        </w:rPr>
      </w:pPr>
    </w:p>
    <w:p w:rsidR="00CD7111" w:rsidRDefault="00CD7111" w:rsidP="00CD7111">
      <w:pPr>
        <w:pStyle w:val="31"/>
        <w:spacing w:line="100" w:lineRule="atLeast"/>
        <w:ind w:firstLine="680"/>
        <w:jc w:val="both"/>
        <w:rPr>
          <w:sz w:val="28"/>
        </w:rPr>
      </w:pPr>
      <w:r>
        <w:rPr>
          <w:sz w:val="28"/>
        </w:rPr>
        <w:t xml:space="preserve">                                                    начало  проверки           01.04.2021 года  </w:t>
      </w:r>
    </w:p>
    <w:p w:rsidR="00CD7111" w:rsidRDefault="00CD7111" w:rsidP="00CD7111">
      <w:pPr>
        <w:pStyle w:val="7"/>
        <w:numPr>
          <w:ilvl w:val="0"/>
          <w:numId w:val="0"/>
        </w:numPr>
        <w:tabs>
          <w:tab w:val="left" w:pos="0"/>
        </w:tabs>
        <w:spacing w:line="100" w:lineRule="atLeast"/>
      </w:pPr>
      <w:r>
        <w:t xml:space="preserve">                                                     окончание   проверки          10.04.2021 года        </w:t>
      </w:r>
    </w:p>
    <w:p w:rsidR="00CD7111" w:rsidRDefault="00CD7111" w:rsidP="00CD7111">
      <w:pPr>
        <w:spacing w:line="100" w:lineRule="atLeast"/>
        <w:ind w:firstLine="680"/>
        <w:jc w:val="center"/>
      </w:pPr>
    </w:p>
    <w:p w:rsidR="00CD7111" w:rsidRDefault="00CD7111" w:rsidP="00CD7111">
      <w:pPr>
        <w:tabs>
          <w:tab w:val="left" w:pos="900"/>
        </w:tabs>
        <w:spacing w:before="120" w:after="120" w:line="264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исполнения бюджета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Совета народных депутатов от 24.12.2019 года № 160 «О  бюджете Богучарского муниципального района на 2020 год и на плановый период 2021 и 2022 годов» доходы районного бюджета утверждены в сумме 861727,8 тыс. руб. (в том числе безвозмездные поступления из областного бюджета 516864,7 тыс. руб.), расходы – 871727,8 тыс. руб., прогнозируемый  дефицит районного бюджета на 2020 год предусмотрен в сумме 10 000,0</w:t>
      </w:r>
      <w:proofErr w:type="gramEnd"/>
      <w:r>
        <w:rPr>
          <w:sz w:val="28"/>
          <w:szCs w:val="28"/>
        </w:rPr>
        <w:t xml:space="preserve"> тыс. руб.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В течение года параметры бюджета изменялись два раза  в сторону увеличения на основании решений Совета народных депутатов </w:t>
      </w:r>
      <w:proofErr w:type="spellStart"/>
      <w:r>
        <w:rPr>
          <w:sz w:val="28"/>
          <w:szCs w:val="28"/>
        </w:rPr>
        <w:lastRenderedPageBreak/>
        <w:t>Богучарскогомуниципального</w:t>
      </w:r>
      <w:proofErr w:type="spellEnd"/>
      <w:r>
        <w:rPr>
          <w:sz w:val="28"/>
          <w:szCs w:val="28"/>
        </w:rPr>
        <w:t xml:space="preserve"> района. Кроме того, на основании полномочий, установленных п.3 ст.217 БК РФ, Финансовым отделом администрации Богучарского муниципального района изменялась сводная бюджетная роспись.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В результате уточненный план по доходам составил  924079,2 тыс. руб. (107,2 % от первоначально утвержденного бюджета) в т. ч. безвозмездные поступления из областного бюджета 577410,7 тыс. руб., по расходам – 920108,3  тыс. руб. (105,5 %), прогнозируемый дефицит 3970,9 тыс. руб.</w:t>
      </w:r>
    </w:p>
    <w:p w:rsidR="00CD7111" w:rsidRDefault="00CD7111" w:rsidP="00CD7111">
      <w:pPr>
        <w:tabs>
          <w:tab w:val="left" w:pos="900"/>
        </w:tabs>
        <w:spacing w:line="264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Фактически</w:t>
      </w:r>
      <w:r>
        <w:rPr>
          <w:sz w:val="28"/>
          <w:szCs w:val="28"/>
        </w:rPr>
        <w:t xml:space="preserve"> за 2020 год в районный бюджет поступило доходов 924673,6 тыс. руб. (107,3 %  уточненных плановых назначений), расходы составили 914054,6 тыс. руб. (104,8 % уточненных плановых назначений). Бюджет исполнен с профицитом в сумме 10619,0 тыс. руб. 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предыдущим годом доходная часть районного бюджета уменьшилась на 20898,4 тыс. руб., или 2,2 %, расходная уменьшилась  на 46686,5 тыс. руб. или 4,9 %.</w:t>
      </w:r>
    </w:p>
    <w:p w:rsidR="00CD7111" w:rsidRDefault="00CD7111" w:rsidP="00CD7111">
      <w:pPr>
        <w:spacing w:line="264" w:lineRule="auto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before="120" w:after="120"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доходной части бюджета Богучарского                          муниципального района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бюджета налоговые и неналоговые поступления составили  326857,2 тыс. руб., что на 1025,5  тыс. руб., или на 0,3 % выше уровня предыдущего года.</w:t>
      </w: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по сравнению с 2019 годом уменьшились на 21923,9 тыс. руб. (3,5 %) и поступили в сумме 597816,4 тыс. руб. </w:t>
      </w: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color w:val="1F497D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16510</wp:posOffset>
            </wp:positionV>
            <wp:extent cx="6819900" cy="40309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03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-165100</wp:posOffset>
            </wp:positionV>
            <wp:extent cx="6964680" cy="438912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438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</w:p>
    <w:p w:rsidR="00CD7111" w:rsidRDefault="00CD7111" w:rsidP="00CD7111">
      <w:pPr>
        <w:spacing w:before="120" w:after="120"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CD7111" w:rsidRDefault="00CD7111" w:rsidP="00CD7111">
      <w:pPr>
        <w:spacing w:before="120" w:after="120" w:line="26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Налоговые доходы поступили в сумме 226576,3 тыс. руб. (102,1 % уточненного плана). Уточненные плановые назначения выполнены по всем налогам. По сравнению с 2019 годом налоговые поступления увеличились на  9,6 % или на 19842,2 тыс. руб. </w:t>
      </w:r>
    </w:p>
    <w:p w:rsidR="00CD7111" w:rsidRDefault="00CD7111" w:rsidP="00CD7111">
      <w:pPr>
        <w:spacing w:before="120" w:line="264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сформировано 78,8 % налоговых доходов районного бюджета. Сумма налога составила 178442,7 тыс. руб. (102,7 % уточненных плановых назначений). По сравнению с 2019 годом поступления от данного источника увеличились на 23857,0 тыс. руб. или на 15,2 %. </w:t>
      </w:r>
    </w:p>
    <w:p w:rsidR="00CD7111" w:rsidRDefault="00CD7111" w:rsidP="00CD7111">
      <w:pPr>
        <w:pStyle w:val="a8"/>
        <w:tabs>
          <w:tab w:val="left" w:pos="7513"/>
        </w:tabs>
        <w:spacing w:before="120" w:line="264" w:lineRule="auto"/>
        <w:ind w:firstLine="709"/>
        <w:jc w:val="both"/>
        <w:rPr>
          <w:bCs/>
          <w:szCs w:val="28"/>
        </w:rPr>
      </w:pPr>
      <w:r>
        <w:rPr>
          <w:b/>
          <w:szCs w:val="28"/>
        </w:rPr>
        <w:t>Доходы от налогов на совокупный доход</w:t>
      </w:r>
      <w:r>
        <w:rPr>
          <w:szCs w:val="28"/>
        </w:rPr>
        <w:t xml:space="preserve"> составили 29123,1 тыс. руб.  100,0 % уточненного плана. </w:t>
      </w:r>
      <w:r>
        <w:rPr>
          <w:bCs/>
          <w:szCs w:val="28"/>
        </w:rPr>
        <w:t>В общей сумме налоговых доходов на долю данного источника в 2019 году приходилось 12,9 %.</w:t>
      </w:r>
    </w:p>
    <w:p w:rsidR="00CD7111" w:rsidRDefault="00CD7111" w:rsidP="00CD7111">
      <w:pPr>
        <w:pStyle w:val="a8"/>
        <w:tabs>
          <w:tab w:val="left" w:pos="7513"/>
        </w:tabs>
        <w:spacing w:before="120" w:line="264" w:lineRule="auto"/>
        <w:ind w:firstLine="709"/>
        <w:jc w:val="both"/>
        <w:rPr>
          <w:bCs/>
          <w:color w:val="1F497D" w:themeColor="text2"/>
          <w:szCs w:val="28"/>
        </w:rPr>
      </w:pPr>
      <w:r>
        <w:rPr>
          <w:bCs/>
          <w:szCs w:val="28"/>
        </w:rPr>
        <w:t xml:space="preserve">Основным налогом в данной группе является  </w:t>
      </w:r>
      <w:r>
        <w:rPr>
          <w:b/>
          <w:bCs/>
          <w:szCs w:val="28"/>
        </w:rPr>
        <w:t>н</w:t>
      </w:r>
      <w:r>
        <w:rPr>
          <w:b/>
          <w:szCs w:val="28"/>
        </w:rPr>
        <w:t xml:space="preserve">алог на вмененный доход, </w:t>
      </w:r>
      <w:r>
        <w:rPr>
          <w:szCs w:val="28"/>
        </w:rPr>
        <w:t xml:space="preserve">поступления которого составили  14926,0 тыс. руб. Доходы по данному источнику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в</w:t>
      </w:r>
      <w:r>
        <w:rPr>
          <w:bCs/>
          <w:szCs w:val="28"/>
        </w:rPr>
        <w:t xml:space="preserve"> 2020 году уменьшились на 20,1 % по отношению к 2019 году, или на 3748,8 тыс. руб. </w:t>
      </w:r>
    </w:p>
    <w:p w:rsidR="00CD7111" w:rsidRDefault="00CD7111" w:rsidP="00CD7111">
      <w:pPr>
        <w:pStyle w:val="a8"/>
        <w:tabs>
          <w:tab w:val="left" w:pos="7513"/>
        </w:tabs>
        <w:spacing w:before="120" w:line="264" w:lineRule="auto"/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По единому сельскохозяйственному налогу </w:t>
      </w:r>
      <w:r>
        <w:rPr>
          <w:bCs/>
          <w:szCs w:val="28"/>
        </w:rPr>
        <w:t xml:space="preserve">поступило 10492,5 тыс. руб., 100 % уточненного плана. Доходы по данному источнику поступления в </w:t>
      </w:r>
      <w:r>
        <w:rPr>
          <w:bCs/>
          <w:szCs w:val="28"/>
        </w:rPr>
        <w:lastRenderedPageBreak/>
        <w:t>2020 году увеличились  по сравнению с 2019 годом на 102,6 % или на 264,8 тыс. руб.</w:t>
      </w:r>
    </w:p>
    <w:p w:rsidR="00CD7111" w:rsidRDefault="00CD7111" w:rsidP="00CD7111">
      <w:pPr>
        <w:pStyle w:val="a8"/>
        <w:tabs>
          <w:tab w:val="left" w:pos="7513"/>
        </w:tabs>
        <w:spacing w:before="120" w:line="264" w:lineRule="auto"/>
        <w:ind w:firstLine="0"/>
        <w:jc w:val="both"/>
        <w:rPr>
          <w:bCs/>
          <w:szCs w:val="28"/>
        </w:rPr>
      </w:pPr>
      <w:r>
        <w:rPr>
          <w:b/>
          <w:bCs/>
          <w:szCs w:val="28"/>
        </w:rPr>
        <w:t xml:space="preserve">По государственной пошлине </w:t>
      </w:r>
      <w:r>
        <w:rPr>
          <w:bCs/>
          <w:szCs w:val="28"/>
        </w:rPr>
        <w:t>доходов в бюджет района поступило 4126,5 тыс. руб. По сравнению с 2019 годом поступления увеличились на 503,7 тыс. руб. Это связано с тем, что в 2020 году госпошлина по делам, рассматриваемым в судах общей юрисдикции, мировыми судьями составила 503,7 тыс. руб.</w:t>
      </w:r>
    </w:p>
    <w:p w:rsidR="00CD7111" w:rsidRDefault="00CD7111" w:rsidP="00CD7111">
      <w:pPr>
        <w:pStyle w:val="a8"/>
        <w:spacing w:before="120" w:line="264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Недоимка по налоговым платежам </w:t>
      </w:r>
      <w:r>
        <w:rPr>
          <w:szCs w:val="28"/>
        </w:rPr>
        <w:t>по состоянию на 01.01.2020 года (с учетом задолженности за предыдущие годы) задолженность по платежам в бюджет составляла 9632,5 тыс. руб. В целях снижения имеющейся задолженности по платежам в районный бюджет за 2020 год проведено 11 заседаний комиссии по мобилизации доходов, на которые вызвано 1981 налогоплательщик. За 2020 год взыскано в бюджеты всех уровней 13352,0 тыс. руб., в том числе аренда земли 1371,0 тыс. руб. По состоянию на 01.01.2021 года  (с учетом задолженности за предыдущие годы) задолженность по платежам в бюджет района составила 10138,1 тыс. руб.</w:t>
      </w:r>
    </w:p>
    <w:p w:rsidR="00CD7111" w:rsidRDefault="00CD7111" w:rsidP="00CD7111">
      <w:pPr>
        <w:pStyle w:val="a8"/>
        <w:spacing w:before="120" w:line="264" w:lineRule="auto"/>
        <w:ind w:firstLine="709"/>
        <w:jc w:val="both"/>
        <w:rPr>
          <w:szCs w:val="28"/>
        </w:rPr>
      </w:pPr>
    </w:p>
    <w:p w:rsidR="00CD7111" w:rsidRDefault="00CD7111" w:rsidP="00CD7111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Неналоговые доходы в</w:t>
      </w:r>
      <w:r>
        <w:rPr>
          <w:sz w:val="28"/>
          <w:szCs w:val="28"/>
        </w:rPr>
        <w:t xml:space="preserve"> 2020 году исполнены на 100,0 % уточненного плана и поступили в объеме 100280,8 тыс. руб., что составляет 30,7 % собственных доходов бюджета муниципального района. По сравнению с 2019 годом поступления снизились на 15,8 %  (18816,8  тыс. руб.).</w:t>
      </w:r>
    </w:p>
    <w:p w:rsidR="00CD7111" w:rsidRDefault="00CD7111" w:rsidP="00CD7111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доходы от арендной платы за землю – 24,3 % (24370,4 тыс. руб.), на доходы от сдачи в аренду имущества  – 1,4  % (1389,8 тыс. руб.), доходы от оказания платных услуг – 21,9 % (22015,2 тыс. руб.), доходы от продажи земельных участков – 45,2 % (45288,8 тыс. руб.), штрафные санкции, возмещение ущерба -  0,6 % (631,8 тыс. руб.). </w:t>
      </w:r>
    </w:p>
    <w:p w:rsidR="00CD7111" w:rsidRDefault="00CD7111" w:rsidP="00CD7111">
      <w:pPr>
        <w:spacing w:before="120" w:line="264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 составили 31308,6 тыс. руб. или 100 % уточненного плана. По сравнению с 2019 годом поступления от этого источника увеличились на 248,4 тыс. руб.  Основными источниками формирования по данному доходу стали от сдачи в аренду земельных участков – 23370,4 тыс. руб. и  доходы от аренды имущества, находящегося в муниципальной собственности – 1389,8 тыс. руб.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общей сумме неналоговых доходов 38,8 % занимают </w:t>
      </w:r>
      <w:r>
        <w:rPr>
          <w:b/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>, которые поступили в сумме 45286,8 тыс. руб. (100,0 % уточненного плана). Доходы по данному источнику сформировались за счет:</w:t>
      </w:r>
    </w:p>
    <w:p w:rsidR="00CD7111" w:rsidRDefault="00CD7111" w:rsidP="00CD711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-доходов от продажи земельных участков, находящихся в государственной и муниципальной собственности – 45269,4 тыс. руб.</w:t>
      </w:r>
    </w:p>
    <w:p w:rsidR="00CD7111" w:rsidRDefault="00CD7111" w:rsidP="00CD7111">
      <w:pPr>
        <w:spacing w:line="264" w:lineRule="auto"/>
        <w:jc w:val="both"/>
        <w:rPr>
          <w:sz w:val="28"/>
          <w:szCs w:val="28"/>
        </w:rPr>
      </w:pPr>
    </w:p>
    <w:p w:rsidR="00CD7111" w:rsidRDefault="00CD7111" w:rsidP="00CD7111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от оказания платных услуг</w:t>
      </w:r>
      <w:r>
        <w:rPr>
          <w:sz w:val="28"/>
          <w:szCs w:val="28"/>
        </w:rPr>
        <w:t xml:space="preserve"> по сравнению с 2019 годом сократились на 52,4 % (на 24220,2 тыс. руб.) и составили 22015,2 тыс. руб.   (100,1 % уточненных плановых назначений). </w:t>
      </w:r>
    </w:p>
    <w:p w:rsidR="00CD7111" w:rsidRDefault="00CD7111" w:rsidP="00CD7111">
      <w:pPr>
        <w:spacing w:before="120" w:line="264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Штрафы, санкции, возмещение ущерба </w:t>
      </w:r>
      <w:r>
        <w:rPr>
          <w:sz w:val="28"/>
          <w:szCs w:val="28"/>
        </w:rPr>
        <w:t xml:space="preserve">поступило 631,8 тыс. руб. (104,6 % уточненного плана). Поступления к уровню 2019 года сократились на 78,8 % или на 2350,9 тыс. руб. </w:t>
      </w:r>
    </w:p>
    <w:p w:rsidR="00CD7111" w:rsidRDefault="00CD7111" w:rsidP="00CD7111">
      <w:pPr>
        <w:spacing w:before="120" w:line="264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>районного бюджета в 2020 году составили 597816,4 тыс. руб. За счет финансовой помощи сформировано  64,7 % доходов бюджета Богучарского муниципального района. Объем поступлений по сравнению с предыдущим годом сократился на 21923,9 тыс. руб. или на 3,5 %.</w:t>
      </w:r>
    </w:p>
    <w:p w:rsidR="00CD7111" w:rsidRDefault="00CD7111" w:rsidP="00CD7111">
      <w:pPr>
        <w:spacing w:line="264" w:lineRule="auto"/>
        <w:jc w:val="both"/>
        <w:rPr>
          <w:color w:val="1F497D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120650</wp:posOffset>
            </wp:positionV>
            <wp:extent cx="6408420" cy="5120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12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902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-483870</wp:posOffset>
            </wp:positionV>
            <wp:extent cx="6911340" cy="474726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</w:p>
    <w:p w:rsidR="00CD7111" w:rsidRDefault="00CD7111" w:rsidP="00CD7111">
      <w:pPr>
        <w:tabs>
          <w:tab w:val="left" w:pos="2220"/>
        </w:tabs>
        <w:spacing w:before="120" w:line="264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муниципального долга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обслуживание муниципального долга в 2020 году направлено 0,0 тыс. руб. По состоянию на 01.01.2020 года объем муниципального долга составил 0,0 тыс. руб., по состоянию на 01.01.2021 года 0,0 тыс. руб.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2019 году муниципальный долг составлял 0,0 % к объёму налоговых и неналоговых доходов районного бюджета, и в 2020 году этот показатель составил 0 %.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муниципального долга соответствует параметрам, установленным ст. 8  Решения "О бюджете на 2020 год..." и требованиям ст.107 Бюджетного кодекса РФ (не превысил общий годовой объем доходов местного бюджета без учета безвозмездных поступлений).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расходной части бюджета</w:t>
      </w:r>
    </w:p>
    <w:p w:rsidR="00CD7111" w:rsidRDefault="00CD7111" w:rsidP="00CD7111">
      <w:pPr>
        <w:tabs>
          <w:tab w:val="left" w:pos="720"/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исполнение расходной части бюджета направлено 914054,6 тыс. руб.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составляет 99,3 % уточненных плановых назначений. По сравнению с предыдущим годом расходы сократились на 46686,4 тыс. руб. или на 4,9 %. </w:t>
      </w:r>
    </w:p>
    <w:p w:rsidR="00CD7111" w:rsidRDefault="00CD7111" w:rsidP="00CD7111">
      <w:pPr>
        <w:tabs>
          <w:tab w:val="left" w:pos="720"/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720"/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расходной части по разделам функциональной классификации приведена в таблице 3.</w:t>
      </w:r>
    </w:p>
    <w:p w:rsidR="00CD7111" w:rsidRDefault="00CD7111" w:rsidP="00CD7111">
      <w:pPr>
        <w:tabs>
          <w:tab w:val="left" w:pos="720"/>
          <w:tab w:val="left" w:pos="900"/>
        </w:tabs>
        <w:spacing w:line="264" w:lineRule="auto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tabs>
          <w:tab w:val="left" w:pos="720"/>
          <w:tab w:val="left" w:pos="900"/>
        </w:tabs>
        <w:spacing w:line="264" w:lineRule="auto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tabs>
          <w:tab w:val="left" w:pos="720"/>
          <w:tab w:val="left" w:pos="900"/>
        </w:tabs>
        <w:spacing w:line="264" w:lineRule="auto"/>
        <w:jc w:val="right"/>
        <w:rPr>
          <w:color w:val="1F497D" w:themeColor="text2"/>
          <w:sz w:val="28"/>
          <w:szCs w:val="28"/>
        </w:rPr>
      </w:pPr>
    </w:p>
    <w:p w:rsidR="00CD7111" w:rsidRDefault="00CD7111" w:rsidP="00CD7111">
      <w:pPr>
        <w:tabs>
          <w:tab w:val="left" w:pos="720"/>
          <w:tab w:val="left" w:pos="900"/>
        </w:tabs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-969" w:type="dxa"/>
        <w:tblLayout w:type="fixed"/>
        <w:tblLook w:val="04A0"/>
      </w:tblPr>
      <w:tblGrid>
        <w:gridCol w:w="788"/>
        <w:gridCol w:w="2769"/>
        <w:gridCol w:w="1143"/>
        <w:gridCol w:w="1080"/>
        <w:gridCol w:w="900"/>
        <w:gridCol w:w="720"/>
        <w:gridCol w:w="1080"/>
        <w:gridCol w:w="900"/>
        <w:gridCol w:w="1195"/>
      </w:tblGrid>
      <w:tr w:rsidR="00CD7111" w:rsidTr="00CD7111">
        <w:trPr>
          <w:trHeight w:val="750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rFonts w:cs="Raav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Raavi"/>
                <w:bCs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cs="Raavi"/>
                <w:bCs/>
                <w:sz w:val="22"/>
                <w:szCs w:val="22"/>
                <w:lang w:eastAsia="en-US"/>
              </w:rPr>
              <w:t>Раздел расходов</w:t>
            </w: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Исполнение плана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Динамика  к 2019 году</w:t>
            </w:r>
          </w:p>
        </w:tc>
      </w:tr>
      <w:tr w:rsidR="00CD7111" w:rsidTr="00CD7111">
        <w:trPr>
          <w:trHeight w:val="750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rFonts w:cs="Raav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план  (тыс. руб.)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Доля в сумме расходов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       (%)</w:t>
            </w:r>
            <w:proofErr w:type="gramEnd"/>
          </w:p>
        </w:tc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D7111" w:rsidTr="00CD7111">
        <w:trPr>
          <w:trHeight w:val="255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rFonts w:cs="Raav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тыс. руб.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spacing w:line="26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тыс. руб.</w:t>
            </w:r>
          </w:p>
        </w:tc>
      </w:tr>
      <w:tr w:rsidR="00CD7111" w:rsidTr="00CD7111">
        <w:trPr>
          <w:trHeight w:val="270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rFonts w:cs="Raav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111" w:rsidRDefault="00CD7111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111" w:rsidRDefault="00CD7111">
            <w:pPr>
              <w:overflowPunct/>
              <w:autoSpaceDE/>
              <w:autoSpaceDN/>
              <w:adjustRightInd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D7111" w:rsidTr="00CD7111">
        <w:trPr>
          <w:trHeight w:val="27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7111" w:rsidRDefault="00CD7111">
            <w:pPr>
              <w:spacing w:line="264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7111" w:rsidRDefault="00CD7111">
            <w:pPr>
              <w:spacing w:line="264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7111" w:rsidRDefault="00CD7111">
            <w:pPr>
              <w:spacing w:line="264" w:lineRule="auto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>9</w:t>
            </w:r>
          </w:p>
        </w:tc>
      </w:tr>
      <w:tr w:rsidR="00CD7111" w:rsidTr="00CD7111">
        <w:trPr>
          <w:trHeight w:val="56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60673,6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59794,8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-878,8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-14069,7</w:t>
            </w:r>
          </w:p>
        </w:tc>
      </w:tr>
      <w:tr w:rsidR="00CD7111" w:rsidTr="00CD7111">
        <w:trPr>
          <w:trHeight w:val="56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оборона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7111" w:rsidTr="00CD7111">
        <w:trPr>
          <w:trHeight w:val="93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1138,5</w:t>
            </w:r>
          </w:p>
        </w:tc>
      </w:tr>
      <w:tr w:rsidR="00CD7111" w:rsidTr="00CD7111">
        <w:trPr>
          <w:trHeight w:val="416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экономика </w:t>
            </w:r>
          </w:p>
          <w:p w:rsidR="00CD7111" w:rsidRDefault="00CD7111">
            <w:pPr>
              <w:spacing w:line="264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95804,1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93229,1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-2575,0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-2229,1</w:t>
            </w:r>
          </w:p>
        </w:tc>
      </w:tr>
      <w:tr w:rsidR="00CD7111" w:rsidTr="00CD7111">
        <w:trPr>
          <w:trHeight w:val="64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20289,8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-15511,4</w:t>
            </w:r>
          </w:p>
        </w:tc>
      </w:tr>
      <w:tr w:rsidR="00CD7111" w:rsidTr="00CD7111">
        <w:trPr>
          <w:trHeight w:val="31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555228,0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553181,5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-2046,5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4232,7</w:t>
            </w:r>
          </w:p>
        </w:tc>
      </w:tr>
      <w:tr w:rsidR="00CD7111" w:rsidTr="00CD7111">
        <w:trPr>
          <w:trHeight w:val="677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и средства массовой информации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77936,0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-21929,8</w:t>
            </w:r>
          </w:p>
        </w:tc>
      </w:tr>
      <w:tr w:rsidR="00CD7111" w:rsidTr="00CD7111">
        <w:trPr>
          <w:trHeight w:val="513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22939,8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22863,3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-12884,4</w:t>
            </w:r>
          </w:p>
        </w:tc>
      </w:tr>
      <w:tr w:rsidR="00CD7111" w:rsidTr="00CD7111">
        <w:trPr>
          <w:trHeight w:val="34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  <w:p w:rsidR="00CD7111" w:rsidRDefault="00CD7111">
            <w:pPr>
              <w:spacing w:line="264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31802,9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-470,2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810,3</w:t>
            </w:r>
          </w:p>
        </w:tc>
      </w:tr>
      <w:tr w:rsidR="00CD7111" w:rsidTr="00CD7111">
        <w:trPr>
          <w:trHeight w:val="807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  <w:p w:rsidR="00CD7111" w:rsidRDefault="00CD7111">
            <w:pPr>
              <w:spacing w:line="264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7111" w:rsidTr="00CD7111">
        <w:trPr>
          <w:trHeight w:val="412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111" w:rsidRDefault="00CD7111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  <w:p w:rsidR="00CD7111" w:rsidRDefault="00CD7111">
            <w:pPr>
              <w:spacing w:line="264" w:lineRule="auto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51328,1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51328,1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13457,6</w:t>
            </w:r>
          </w:p>
        </w:tc>
      </w:tr>
      <w:tr w:rsidR="00CD7111" w:rsidTr="00CD7111">
        <w:trPr>
          <w:trHeight w:val="270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920108,3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914054,6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-6053,7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7111" w:rsidRDefault="00CD7111">
            <w:pPr>
              <w:spacing w:line="26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-46686,4</w:t>
            </w:r>
          </w:p>
        </w:tc>
      </w:tr>
    </w:tbl>
    <w:p w:rsidR="00CD7111" w:rsidRDefault="00CD7111" w:rsidP="00CD7111">
      <w:pPr>
        <w:tabs>
          <w:tab w:val="left" w:pos="720"/>
          <w:tab w:val="left" w:pos="900"/>
        </w:tabs>
        <w:spacing w:line="264" w:lineRule="auto"/>
        <w:ind w:firstLine="902"/>
        <w:jc w:val="both"/>
        <w:rPr>
          <w:i/>
          <w:color w:val="1F497D" w:themeColor="text2"/>
          <w:sz w:val="22"/>
          <w:szCs w:val="22"/>
        </w:rPr>
      </w:pPr>
    </w:p>
    <w:p w:rsidR="00CD7111" w:rsidRDefault="00CD7111" w:rsidP="00CD711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сумма расходов районного бюджет</w:t>
      </w:r>
      <w:r>
        <w:rPr>
          <w:rFonts w:ascii="Times New Roman" w:hAnsi="Times New Roman"/>
          <w:sz w:val="28"/>
          <w:szCs w:val="28"/>
        </w:rPr>
        <w:t xml:space="preserve">а направлена на финансирование </w:t>
      </w:r>
      <w:r>
        <w:rPr>
          <w:rFonts w:ascii="Times New Roman" w:hAnsi="Times New Roman" w:cs="Times New Roman"/>
          <w:sz w:val="28"/>
          <w:szCs w:val="28"/>
        </w:rPr>
        <w:t>социальной сферы</w:t>
      </w:r>
      <w:r>
        <w:rPr>
          <w:rFonts w:ascii="Times New Roman" w:hAnsi="Times New Roman"/>
          <w:sz w:val="28"/>
          <w:szCs w:val="28"/>
        </w:rPr>
        <w:t>(образования, культуры и кинематографии, физической культуры и спорта, социальной политики). В 2020 году на эти цели израсходовано 75,0 % общей суммы расходов, или 685783,7 тыс. руб.,  к 2019 году 95,8 %.</w:t>
      </w:r>
    </w:p>
    <w:p w:rsidR="00CD7111" w:rsidRDefault="00CD7111" w:rsidP="00CD711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значительная часть средств бюджета израсходована на исполнение раздела «Общегосударственные вопросы». В 2020 году финансирование раздела составило 6,5 % общей суммы расходов (</w:t>
      </w:r>
      <w:r>
        <w:rPr>
          <w:rFonts w:ascii="Times New Roman" w:hAnsi="Times New Roman" w:cs="Times New Roman"/>
          <w:sz w:val="28"/>
          <w:szCs w:val="28"/>
        </w:rPr>
        <w:t>59794,8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CD7111" w:rsidRDefault="00CD7111" w:rsidP="00CD711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остальные расходы (национальная оборона, национальную безопасность и правоохранительную деятельность, национальную экономику и жилищно-коммунальное хозяйство, межбюджетные трансферты)    направлено 18,5 % расходов бюджета (168476,1 тыс. руб.).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бюджета за 2020 год по всем отраслям произведено не выше плановых назначений.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48895</wp:posOffset>
            </wp:positionV>
            <wp:extent cx="6438900" cy="4556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55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«Общегосударственные вопросы» (ФРК 01 00)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на общегосударственные вопросы в общем объеме расходов бюджета составляет 6,5%  на финансирование раздела направлено59794,8  тыс. руб. или 98,6 % уточненного плана, в том числе по подразделам: </w:t>
      </w:r>
    </w:p>
    <w:p w:rsidR="00CD7111" w:rsidRDefault="00CD7111" w:rsidP="00CD7111">
      <w:pPr>
        <w:pStyle w:val="22"/>
        <w:numPr>
          <w:ilvl w:val="0"/>
          <w:numId w:val="2"/>
        </w:numPr>
        <w:tabs>
          <w:tab w:val="num" w:pos="0"/>
          <w:tab w:val="left" w:pos="720"/>
        </w:tabs>
        <w:spacing w:line="264" w:lineRule="auto"/>
        <w:ind w:left="0" w:firstLine="709"/>
        <w:rPr>
          <w:szCs w:val="28"/>
        </w:rPr>
      </w:pPr>
      <w:r>
        <w:rPr>
          <w:szCs w:val="28"/>
        </w:rPr>
        <w:t>01 03 «Функционирование представительных органов муниципальных образований» - 888,8 тыс. руб. (100,0%);</w:t>
      </w:r>
    </w:p>
    <w:p w:rsidR="00CD7111" w:rsidRDefault="00CD7111" w:rsidP="00CD7111">
      <w:pPr>
        <w:pStyle w:val="22"/>
        <w:numPr>
          <w:ilvl w:val="0"/>
          <w:numId w:val="2"/>
        </w:numPr>
        <w:tabs>
          <w:tab w:val="num" w:pos="0"/>
          <w:tab w:val="left" w:pos="720"/>
        </w:tabs>
        <w:spacing w:line="264" w:lineRule="auto"/>
        <w:ind w:left="0" w:firstLine="709"/>
        <w:rPr>
          <w:szCs w:val="28"/>
        </w:rPr>
      </w:pPr>
      <w:r>
        <w:rPr>
          <w:szCs w:val="28"/>
        </w:rPr>
        <w:t>01 04 «Выполнение функций органами местного самоуправления»  - 34150,3 тыс. руб. (100,0 %);</w:t>
      </w:r>
    </w:p>
    <w:p w:rsidR="00CD7111" w:rsidRDefault="00CD7111" w:rsidP="00CD7111">
      <w:pPr>
        <w:pStyle w:val="22"/>
        <w:numPr>
          <w:ilvl w:val="0"/>
          <w:numId w:val="2"/>
        </w:numPr>
        <w:tabs>
          <w:tab w:val="num" w:pos="0"/>
          <w:tab w:val="left" w:pos="720"/>
        </w:tabs>
        <w:spacing w:line="264" w:lineRule="auto"/>
        <w:ind w:left="0" w:firstLine="709"/>
        <w:rPr>
          <w:szCs w:val="28"/>
        </w:rPr>
      </w:pPr>
      <w:r>
        <w:rPr>
          <w:szCs w:val="28"/>
        </w:rPr>
        <w:t xml:space="preserve">01 06 «Обеспечение деятельности финансовых, налоговых и таможенных органов и органов финансового надзора» - 7480,9 тыс. руб. (100%); </w:t>
      </w:r>
    </w:p>
    <w:p w:rsidR="00CD7111" w:rsidRDefault="00CD7111" w:rsidP="00CD7111">
      <w:pPr>
        <w:pStyle w:val="22"/>
        <w:numPr>
          <w:ilvl w:val="0"/>
          <w:numId w:val="2"/>
        </w:numPr>
        <w:tabs>
          <w:tab w:val="num" w:pos="0"/>
          <w:tab w:val="left" w:pos="720"/>
        </w:tabs>
        <w:spacing w:line="264" w:lineRule="auto"/>
        <w:ind w:left="0" w:firstLine="709"/>
        <w:rPr>
          <w:szCs w:val="28"/>
        </w:rPr>
      </w:pPr>
      <w:r>
        <w:rPr>
          <w:szCs w:val="28"/>
        </w:rPr>
        <w:lastRenderedPageBreak/>
        <w:t>01 13 «Другие общегосударственные вопросы» - 13352,4 тыс. руб. (99,8 %)</w:t>
      </w:r>
    </w:p>
    <w:p w:rsidR="00CD7111" w:rsidRDefault="00CD7111" w:rsidP="00CD7111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«Национальная безопасность и правоохранительная деятельность» (ФРК 03 00)</w:t>
      </w:r>
    </w:p>
    <w:p w:rsidR="00CD7111" w:rsidRDefault="00CD7111" w:rsidP="00CD711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Израсходованы средства по муниципальному району 3335,8 тыс. руб. или 100 % уточненного плана. </w:t>
      </w:r>
    </w:p>
    <w:p w:rsidR="00CD7111" w:rsidRDefault="00CD7111" w:rsidP="00CD7111">
      <w:pPr>
        <w:spacing w:line="264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"Национальная экономика" (ФКР 04 00)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раздела "Национальная экономика" по сравнению с 2019 годом уменьшился на 2,7 % (2229,1 тыс. руб.) и составило 93229,1 тыс. руб. (97,3 % уточненных плановых назначений). 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подразделу "Сельское хозяйство и рыболовство"</w:t>
      </w:r>
      <w:r>
        <w:rPr>
          <w:sz w:val="28"/>
          <w:szCs w:val="28"/>
        </w:rPr>
        <w:t xml:space="preserve"> исполнение составляет 95,0 % уточненных плановых назначений или 9686,0 тыс. руб. Средства направлены на обеспечение деятельности  МКУ «Функциональный центр».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0409 «Дорожное хозяйство» </w:t>
      </w:r>
      <w:r>
        <w:rPr>
          <w:sz w:val="28"/>
          <w:szCs w:val="28"/>
        </w:rPr>
        <w:t>исполнение составляет 99,9 % уточненных плановых назначений или 77898,2 тыс. руб.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"Жилищно-коммунальное хозяйство" (ФКР 05 00). </w:t>
      </w:r>
      <w:r>
        <w:rPr>
          <w:sz w:val="28"/>
          <w:szCs w:val="28"/>
        </w:rPr>
        <w:t xml:space="preserve"> Расходы районного бюджета по данному разделу составляют 20283,0  тыс. руб. (100 % уточненного плана), к уровню 2019 года расходы сократились на 43,3 %.</w:t>
      </w:r>
    </w:p>
    <w:p w:rsidR="00CD7111" w:rsidRDefault="00CD7111" w:rsidP="00CD7111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«Благоустройство» исполнены в сумме 2354,5 тыс. руб. (100 % уточненного плана), к уровню 2019 года 150,0 %. </w:t>
      </w:r>
    </w:p>
    <w:p w:rsidR="00CD7111" w:rsidRDefault="00CD7111" w:rsidP="00CD7111">
      <w:pPr>
        <w:spacing w:line="264" w:lineRule="auto"/>
        <w:ind w:firstLine="709"/>
        <w:jc w:val="both"/>
        <w:outlineLvl w:val="1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"Образование" (ФКР 07 00)</w:t>
      </w:r>
    </w:p>
    <w:p w:rsidR="00CD7111" w:rsidRDefault="00CD7111" w:rsidP="00CD7111">
      <w:pPr>
        <w:pStyle w:val="22"/>
        <w:tabs>
          <w:tab w:val="left" w:pos="720"/>
          <w:tab w:val="left" w:pos="1134"/>
        </w:tabs>
        <w:spacing w:line="100" w:lineRule="atLeast"/>
        <w:ind w:left="0" w:firstLine="709"/>
        <w:rPr>
          <w:spacing w:val="-2"/>
          <w:szCs w:val="28"/>
        </w:rPr>
      </w:pPr>
      <w:r>
        <w:rPr>
          <w:spacing w:val="-2"/>
          <w:szCs w:val="28"/>
        </w:rPr>
        <w:t xml:space="preserve">Финансирование раздела  произведено в сумме 553181,5 тыс. руб. или 99,6 % уточненного плана,  к уровню 2019  года 100,8 % в т. ч. исполнение по подразделам сложились следующим образом: </w:t>
      </w:r>
    </w:p>
    <w:p w:rsidR="00CD7111" w:rsidRDefault="00CD7111" w:rsidP="00CD7111">
      <w:pPr>
        <w:pStyle w:val="22"/>
        <w:tabs>
          <w:tab w:val="left" w:pos="720"/>
          <w:tab w:val="left" w:pos="1134"/>
        </w:tabs>
        <w:spacing w:line="100" w:lineRule="atLeast"/>
        <w:ind w:left="0" w:firstLine="709"/>
        <w:rPr>
          <w:szCs w:val="28"/>
        </w:rPr>
      </w:pPr>
      <w:r>
        <w:rPr>
          <w:szCs w:val="28"/>
        </w:rPr>
        <w:t xml:space="preserve">Расходы по </w:t>
      </w:r>
      <w:r>
        <w:rPr>
          <w:i/>
          <w:szCs w:val="28"/>
        </w:rPr>
        <w:t>подразделу «Дошкольное образование»</w:t>
      </w:r>
      <w:r>
        <w:rPr>
          <w:szCs w:val="28"/>
        </w:rPr>
        <w:t xml:space="preserve"> составили 112171,5 тыс. руб., 100 % уточненного плана, к уровню 2019 года 74,7 %</w:t>
      </w:r>
      <w:r>
        <w:rPr>
          <w:i/>
          <w:szCs w:val="28"/>
        </w:rPr>
        <w:t xml:space="preserve">. </w:t>
      </w:r>
      <w:r>
        <w:rPr>
          <w:szCs w:val="28"/>
        </w:rPr>
        <w:t xml:space="preserve"> Больше половины  расходов по данному подразделу, или 78,6 % приходится на расходы по оплате труда.    </w:t>
      </w:r>
    </w:p>
    <w:p w:rsidR="00CD7111" w:rsidRDefault="00CD7111" w:rsidP="00CD7111">
      <w:pPr>
        <w:pStyle w:val="22"/>
        <w:tabs>
          <w:tab w:val="left" w:pos="709"/>
        </w:tabs>
        <w:spacing w:line="100" w:lineRule="atLeast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bCs/>
          <w:iCs/>
          <w:szCs w:val="28"/>
        </w:rPr>
        <w:t xml:space="preserve">Расходы по </w:t>
      </w:r>
      <w:r>
        <w:rPr>
          <w:bCs/>
          <w:i/>
          <w:iCs/>
          <w:szCs w:val="28"/>
        </w:rPr>
        <w:t>подразделу</w:t>
      </w:r>
      <w:r>
        <w:rPr>
          <w:i/>
          <w:szCs w:val="28"/>
        </w:rPr>
        <w:t xml:space="preserve"> «Общее образование»</w:t>
      </w:r>
      <w:r>
        <w:rPr>
          <w:szCs w:val="28"/>
        </w:rPr>
        <w:t xml:space="preserve"> составили  350110,1 тыс. руб.,  100 % уточненного плана, к уровню 2019 года 103,7 %.  </w:t>
      </w:r>
    </w:p>
    <w:p w:rsidR="00CD7111" w:rsidRDefault="00CD7111" w:rsidP="00CD7111">
      <w:pPr>
        <w:suppressAutoHyphens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2020 году в рамках </w:t>
      </w:r>
      <w:r>
        <w:rPr>
          <w:bCs/>
          <w:i/>
          <w:iCs/>
          <w:sz w:val="28"/>
          <w:szCs w:val="28"/>
        </w:rPr>
        <w:t>подраздела</w:t>
      </w:r>
      <w:r>
        <w:rPr>
          <w:i/>
          <w:sz w:val="28"/>
          <w:szCs w:val="28"/>
        </w:rPr>
        <w:t xml:space="preserve"> «Молодежная политика»</w:t>
      </w:r>
      <w:r>
        <w:rPr>
          <w:sz w:val="28"/>
          <w:szCs w:val="28"/>
        </w:rPr>
        <w:t xml:space="preserve"> произведено финансирование мероприятий и конкурсов для детей и молодежи в сумме 1420,8 тыс. руб. (100%), к уровню 2019 года 40,6 %. </w:t>
      </w:r>
    </w:p>
    <w:p w:rsidR="00CD7111" w:rsidRDefault="00CD7111" w:rsidP="00CD7111">
      <w:pPr>
        <w:pStyle w:val="a5"/>
        <w:ind w:firstLine="709"/>
        <w:jc w:val="both"/>
        <w:rPr>
          <w:szCs w:val="28"/>
        </w:rPr>
      </w:pPr>
      <w:r>
        <w:rPr>
          <w:i/>
          <w:szCs w:val="28"/>
        </w:rPr>
        <w:t>Подраздел «Другие вопросы в области образования»</w:t>
      </w:r>
      <w:r>
        <w:rPr>
          <w:szCs w:val="28"/>
        </w:rPr>
        <w:t xml:space="preserve"> исполнен в сумме  66837,9 тыс. руб. (100 %), к уровню 2019 года 231,3 %.</w:t>
      </w:r>
    </w:p>
    <w:p w:rsidR="00CD7111" w:rsidRDefault="00CD7111" w:rsidP="00CD7111">
      <w:pPr>
        <w:pStyle w:val="a5"/>
        <w:ind w:firstLine="709"/>
        <w:jc w:val="both"/>
        <w:rPr>
          <w:i/>
          <w:szCs w:val="28"/>
        </w:rPr>
      </w:pPr>
    </w:p>
    <w:p w:rsidR="00CD7111" w:rsidRDefault="00CD7111" w:rsidP="00CD7111">
      <w:pPr>
        <w:tabs>
          <w:tab w:val="left" w:pos="790"/>
        </w:tabs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«Культура, кинематография» (ФКР 08 00)</w:t>
      </w:r>
    </w:p>
    <w:p w:rsidR="00CD7111" w:rsidRDefault="00CD7111" w:rsidP="00CD7111">
      <w:pPr>
        <w:pStyle w:val="22"/>
        <w:tabs>
          <w:tab w:val="left" w:pos="720"/>
          <w:tab w:val="left" w:pos="1134"/>
        </w:tabs>
        <w:spacing w:line="100" w:lineRule="atLeast"/>
        <w:ind w:left="0" w:firstLine="709"/>
      </w:pPr>
      <w:r>
        <w:t>Финансирование раздела  произведено в сумме 77936,0 тыс. руб. или 100 % уточненного плана, к уровню 2019 года 78,0 %.</w:t>
      </w:r>
    </w:p>
    <w:p w:rsidR="00CD7111" w:rsidRDefault="00CD7111" w:rsidP="00CD7111">
      <w:pPr>
        <w:pStyle w:val="22"/>
        <w:tabs>
          <w:tab w:val="left" w:pos="720"/>
          <w:tab w:val="left" w:pos="1134"/>
        </w:tabs>
        <w:spacing w:line="100" w:lineRule="atLeast"/>
        <w:ind w:left="0" w:firstLine="709"/>
        <w:rPr>
          <w:szCs w:val="28"/>
        </w:rPr>
      </w:pPr>
      <w:r>
        <w:rPr>
          <w:szCs w:val="28"/>
        </w:rPr>
        <w:lastRenderedPageBreak/>
        <w:t xml:space="preserve">65,8 % расходов  по данному разделу приходится на расходы по оплате труда. </w:t>
      </w:r>
    </w:p>
    <w:p w:rsidR="00CD7111" w:rsidRDefault="00CD7111" w:rsidP="00CD7111">
      <w:pPr>
        <w:pStyle w:val="22"/>
        <w:tabs>
          <w:tab w:val="left" w:pos="720"/>
          <w:tab w:val="left" w:pos="1134"/>
        </w:tabs>
        <w:spacing w:line="100" w:lineRule="atLeast"/>
        <w:ind w:left="0" w:firstLine="709"/>
        <w:rPr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"Социальная политика" (ФКР 10 00)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плановых назначений по разделу произведено на 99,7 %, расходы составили 22863,3 тыс. руб.,  что  на 36 %  меньше  уровня 2019 года.</w:t>
      </w:r>
    </w:p>
    <w:p w:rsidR="00CD7111" w:rsidRDefault="00CD7111" w:rsidP="00CD7111">
      <w:pPr>
        <w:tabs>
          <w:tab w:val="left" w:pos="79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«Пенсионное обеспечение» увеличились к уровню 2019 года на 21,3 % и составили 3024,7 тыс. руб. (100 % плана). </w:t>
      </w:r>
    </w:p>
    <w:p w:rsidR="00CD7111" w:rsidRDefault="00CD7111" w:rsidP="00CD7111">
      <w:pPr>
        <w:tabs>
          <w:tab w:val="left" w:pos="79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tabs>
          <w:tab w:val="left" w:pos="790"/>
        </w:tabs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"Физическая культура и спорт" (ФКР 11 00)</w:t>
      </w:r>
    </w:p>
    <w:p w:rsidR="00CD7111" w:rsidRDefault="00CD7111" w:rsidP="00CD7111">
      <w:pPr>
        <w:tabs>
          <w:tab w:val="left" w:pos="79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плановых назначений по разделу произведено на 98,5 %, расходы составили 31802,9  тыс. руб., к уровню 2019 года увеличились на 2,6 %.</w:t>
      </w:r>
    </w:p>
    <w:p w:rsidR="00CD7111" w:rsidRDefault="00CD7111" w:rsidP="00CD7111">
      <w:pPr>
        <w:tabs>
          <w:tab w:val="left" w:pos="79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«Массовый спорт» на проведение спортивно-массовых мероприятий израсходовано 15193,6 тыс. руб., 100 % уточненного плана, к уровню 2019 года 97,0 %.</w:t>
      </w:r>
    </w:p>
    <w:p w:rsidR="00CD7111" w:rsidRDefault="00CD7111" w:rsidP="00CD7111">
      <w:pPr>
        <w:tabs>
          <w:tab w:val="left" w:pos="79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"Межбюджетные трансферты"(14 00)</w:t>
      </w:r>
      <w:r>
        <w:rPr>
          <w:sz w:val="28"/>
          <w:szCs w:val="28"/>
        </w:rPr>
        <w:t xml:space="preserve"> составили 51328,1 тыс. руб. (100,0% плана), к уровню 2019 года 135,5 % в том числе: 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-дотации бюджетам поселений на выравнивание бюджетной обеспеченности субъектов РФ и муниципальных образований  в сумме 15450,0 тыс. руб.</w:t>
      </w:r>
    </w:p>
    <w:p w:rsidR="00CD7111" w:rsidRDefault="00CD7111" w:rsidP="00CD7111">
      <w:pPr>
        <w:spacing w:line="264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CD7111" w:rsidRDefault="00CD7111" w:rsidP="00CD7111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заказа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и размещения процедур закупок в 2020 году  проведено 2 конкурса, 104 аукцион всего 106, к уровню 2019  года 53,5 %. Уменьшение закупок связано с тем, что увеличилась сумма договоров свободных закупок до 600 тыс. рублей и увеличением объема свободных закупок с 2 млн. рублей  до 6 млн. рублей. Общая сумма экономии 1,137 млн. руб. 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 </w:t>
      </w:r>
      <w:r>
        <w:rPr>
          <w:b/>
          <w:sz w:val="28"/>
          <w:szCs w:val="28"/>
        </w:rPr>
        <w:t>остатки бюджетных средств</w:t>
      </w:r>
      <w:r>
        <w:rPr>
          <w:sz w:val="28"/>
          <w:szCs w:val="28"/>
        </w:rPr>
        <w:t xml:space="preserve"> на 01.01.2020 года, находящиеся на едином  счете бюджета  16337,0 тыс. руб. из них: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целевых средств бюджета – 0,0 тыс. руб.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 </w:t>
      </w:r>
      <w:r>
        <w:rPr>
          <w:b/>
          <w:sz w:val="28"/>
          <w:szCs w:val="28"/>
        </w:rPr>
        <w:t>остатки бюджетных средств</w:t>
      </w:r>
      <w:r>
        <w:rPr>
          <w:sz w:val="28"/>
          <w:szCs w:val="28"/>
        </w:rPr>
        <w:t xml:space="preserve"> на 01.01.2021 года, находящиеся на едином  счете бюджета  составили 22956,0 тыс. руб. из них: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целевых средств бюджета – 1900,0 тыс. рублей.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</w:p>
    <w:p w:rsidR="00CD7111" w:rsidRDefault="00CD7111" w:rsidP="00CD7111">
      <w:pPr>
        <w:pStyle w:val="a8"/>
        <w:spacing w:line="100" w:lineRule="atLeast"/>
        <w:jc w:val="both"/>
        <w:rPr>
          <w:szCs w:val="28"/>
        </w:rPr>
      </w:pPr>
      <w:r>
        <w:rPr>
          <w:b/>
          <w:szCs w:val="28"/>
        </w:rPr>
        <w:t xml:space="preserve">  Кредиторская задолженность</w:t>
      </w:r>
      <w:r>
        <w:rPr>
          <w:szCs w:val="28"/>
        </w:rPr>
        <w:t xml:space="preserve"> районного бюджета  (текущая) по состоянию на 01.01.2020 года составила 360,0 тыс. руб., на 01.01.2021 года  394,0 тыс. руб. </w:t>
      </w:r>
    </w:p>
    <w:p w:rsidR="00CD7111" w:rsidRDefault="00CD7111" w:rsidP="00CD7111">
      <w:pPr>
        <w:pStyle w:val="a8"/>
        <w:spacing w:line="10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Просроченной кредиторской задолженности по состоянию на 01.01.2021 года нет. </w:t>
      </w:r>
    </w:p>
    <w:p w:rsidR="00CD7111" w:rsidRDefault="00CD7111" w:rsidP="00CD7111">
      <w:pPr>
        <w:pStyle w:val="a8"/>
        <w:spacing w:line="100" w:lineRule="atLeast"/>
        <w:jc w:val="both"/>
        <w:rPr>
          <w:color w:val="1F497D" w:themeColor="text2"/>
          <w:szCs w:val="28"/>
          <w:highlight w:val="yellow"/>
        </w:rPr>
      </w:pPr>
    </w:p>
    <w:p w:rsidR="00CD7111" w:rsidRDefault="00CD7111" w:rsidP="00CD7111">
      <w:pPr>
        <w:pStyle w:val="ConsPlusNormal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расходов, предусмотренных муниципальными целевыми программами</w:t>
      </w:r>
    </w:p>
    <w:p w:rsidR="00CD7111" w:rsidRDefault="00CD7111" w:rsidP="00CD7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в 2020 году исполнен не только в функциональной и ведомственной, но и программной структуре расходов, что соответствует принятым в 2013 году изменениям Бюджетного кодекса.</w:t>
      </w:r>
    </w:p>
    <w:p w:rsidR="00CD7111" w:rsidRDefault="00CD7111" w:rsidP="00CD7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Распоряжением администрации Богучарского муниципального района от 28.12.2018 № 340-р утверждены пять муниципальных программ:</w:t>
      </w:r>
    </w:p>
    <w:p w:rsidR="00CD7111" w:rsidRDefault="00CD7111" w:rsidP="00CD7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образования, физической культуры и спорта Богучарского муниципального района, срок исполнения 2019-2025 годы, в 2020 году </w:t>
      </w:r>
      <w:proofErr w:type="gramStart"/>
      <w:r>
        <w:rPr>
          <w:sz w:val="28"/>
          <w:szCs w:val="28"/>
        </w:rPr>
        <w:t>исполнена</w:t>
      </w:r>
      <w:proofErr w:type="gramEnd"/>
      <w:r>
        <w:rPr>
          <w:sz w:val="28"/>
          <w:szCs w:val="28"/>
        </w:rPr>
        <w:t xml:space="preserve"> 99,6 % (план на 2020 год 580271,4 тыс. рублей, факт 577678,2 тыс. рублей);</w:t>
      </w:r>
    </w:p>
    <w:p w:rsidR="00CD7111" w:rsidRDefault="00CD7111" w:rsidP="00CD7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культуры и туризма Богучарского муниципального района, срок исполнения 2019-2025 годы, в 2020 году </w:t>
      </w:r>
      <w:proofErr w:type="gramStart"/>
      <w:r>
        <w:rPr>
          <w:sz w:val="28"/>
          <w:szCs w:val="28"/>
        </w:rPr>
        <w:t>исполнена</w:t>
      </w:r>
      <w:proofErr w:type="gramEnd"/>
      <w:r>
        <w:rPr>
          <w:sz w:val="28"/>
          <w:szCs w:val="28"/>
        </w:rPr>
        <w:t xml:space="preserve"> 100 % (план на 2020 год 96109,7 тыс. рублей, факт 96109,7 тыс. рублей);</w:t>
      </w:r>
    </w:p>
    <w:p w:rsidR="00CD7111" w:rsidRDefault="00CD7111" w:rsidP="00CD7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экономическое развитие Богучарского муниципального района, срок исполнения 2019-2025 годы, в 2020 году </w:t>
      </w:r>
      <w:proofErr w:type="gramStart"/>
      <w:r>
        <w:rPr>
          <w:sz w:val="28"/>
          <w:szCs w:val="28"/>
        </w:rPr>
        <w:t>исполнена</w:t>
      </w:r>
      <w:proofErr w:type="gramEnd"/>
      <w:r>
        <w:rPr>
          <w:sz w:val="28"/>
          <w:szCs w:val="28"/>
        </w:rPr>
        <w:t xml:space="preserve"> 98,2 % (план на 2020 год 111476,2 тыс. рублей, факт 109463,6 тыс. рублей);</w:t>
      </w:r>
    </w:p>
    <w:p w:rsidR="00CD7111" w:rsidRDefault="00CD7111" w:rsidP="00CD7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сельского хозяйства, производства пищевых продуктов и инфраструктуры  агропродовольственного рынка Богучарского муниципального района, в 2020 году </w:t>
      </w:r>
      <w:proofErr w:type="gramStart"/>
      <w:r>
        <w:rPr>
          <w:sz w:val="28"/>
          <w:szCs w:val="28"/>
        </w:rPr>
        <w:t>исполнена</w:t>
      </w:r>
      <w:proofErr w:type="gramEnd"/>
      <w:r>
        <w:rPr>
          <w:sz w:val="28"/>
          <w:szCs w:val="28"/>
        </w:rPr>
        <w:t xml:space="preserve"> 94,3 %, (план – 10056,9 тыс. рублей, факт - 9488,0 тыс. рублей);</w:t>
      </w:r>
    </w:p>
    <w:p w:rsidR="00CD7111" w:rsidRDefault="00CD7111" w:rsidP="00CD7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управление и гражданское общество, срок исполнения 2019-2025 годы, в 2020 году </w:t>
      </w:r>
      <w:proofErr w:type="gramStart"/>
      <w:r>
        <w:rPr>
          <w:sz w:val="28"/>
          <w:szCs w:val="28"/>
        </w:rPr>
        <w:t>исполнена</w:t>
      </w:r>
      <w:proofErr w:type="gramEnd"/>
      <w:r>
        <w:rPr>
          <w:sz w:val="28"/>
          <w:szCs w:val="28"/>
        </w:rPr>
        <w:t xml:space="preserve"> на 99,2 %, (план 2020 год 122194,0 тыс. рублей, факт 121315,1 тыс. рублей). </w:t>
      </w:r>
    </w:p>
    <w:p w:rsidR="00CD7111" w:rsidRDefault="00CD7111" w:rsidP="00CD71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расходов районного бюджета, включенных в 2020 году в муниципальные программы, в общем объеме расходов составляет 100 %. Реализация муниципальных целевых программ направлена на развитие экономической, культурной и производственной инфраструктуры района.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проводились корректировки программ, а также уточнялись объемы их финансирования в решении о бюджете. Проведенные изменения позволили согласовать показатели бюджета и данные паспортов программ. 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и предложения   </w:t>
      </w:r>
    </w:p>
    <w:p w:rsidR="00CD7111" w:rsidRDefault="00CD7111" w:rsidP="00CD711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ревизионной комиссии Богучарского муниципального района на отчет администрации Богучарского муниципального района об исполнении  в 2020 году решения Совета народных депутатов Богучарского муниципального района «Об утверждении бюджета Богучарского муниципального района на 2020 год...» (далее – заключение) подготовлено в соответствии с Бюджетным  кодексом РФ,  Уставом Богучарского муниципального района, 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Богучарскоммуниципальном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Положением  о ревизионной  комиссии Богучарского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7111" w:rsidRDefault="00CD7111" w:rsidP="00CD711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основано на результатах проверки  бюджетной отчетности за 2020 год Финансового отдела администрации Богучарского муниципального района,  а так же на материалах контрольных и экспертно-аналитических мероприятий, проведенных ревизионной комиссией Богучарского муниципального района в 2020 году. </w:t>
      </w:r>
    </w:p>
    <w:p w:rsidR="00CD7111" w:rsidRDefault="00CD7111" w:rsidP="00CD711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п. 3 ст.264.4 Бюджетного кодекса РФ отчет об исполнении бюджета Богучарского муниципального района за 2020 год представлен администрацией Богучарского муниципального района в ревизионную комиссию  в установленный срок - 30 марта 2021 года.</w:t>
      </w:r>
    </w:p>
    <w:p w:rsidR="00CD7111" w:rsidRDefault="00CD7111" w:rsidP="00CD711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отчетом, соответствует п.3 ст.264(1), п.2. ст.264(5) Бюджетного Кодекса РФ.</w:t>
      </w:r>
    </w:p>
    <w:p w:rsidR="00CD7111" w:rsidRDefault="00CD7111" w:rsidP="00CD7111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Обобщив  материалы Заключения, ревизионная  комиссия отмечает,  что при исполнении бюджета  Богучарского муниципального района нормы бюджетного законодательства в целом соблюдены. Причин для отклонения отчета администрации Богучарского муниципального района об исполнении Решения "О бюджете на 2020 год...» ревизионная комиссия не усматривает и считает возможным рекомендовать к утверждению.</w:t>
      </w:r>
    </w:p>
    <w:p w:rsidR="00CD7111" w:rsidRDefault="00CD7111" w:rsidP="00CD7111">
      <w:pPr>
        <w:pStyle w:val="a8"/>
        <w:spacing w:line="100" w:lineRule="atLeast"/>
        <w:ind w:firstLine="680"/>
        <w:jc w:val="both"/>
        <w:rPr>
          <w:highlight w:val="yellow"/>
        </w:rPr>
      </w:pPr>
    </w:p>
    <w:p w:rsidR="00CD7111" w:rsidRDefault="00CD7111" w:rsidP="00CD7111">
      <w:pPr>
        <w:pStyle w:val="22"/>
        <w:tabs>
          <w:tab w:val="left" w:pos="567"/>
        </w:tabs>
        <w:ind w:left="0" w:firstLine="0"/>
      </w:pPr>
      <w:r>
        <w:t xml:space="preserve">Председатель </w:t>
      </w:r>
      <w:proofErr w:type="gramStart"/>
      <w:r>
        <w:t>ревизионной</w:t>
      </w:r>
      <w:proofErr w:type="gramEnd"/>
    </w:p>
    <w:p w:rsidR="00CD7111" w:rsidRDefault="00CD7111" w:rsidP="00CD7111">
      <w:pPr>
        <w:pStyle w:val="22"/>
        <w:tabs>
          <w:tab w:val="left" w:pos="567"/>
        </w:tabs>
        <w:ind w:left="0" w:firstLine="0"/>
      </w:pPr>
      <w:r>
        <w:t xml:space="preserve">комиссии  Богучарского                                                         А.М. </w:t>
      </w:r>
      <w:proofErr w:type="spellStart"/>
      <w:r>
        <w:t>Еремейчева</w:t>
      </w:r>
      <w:proofErr w:type="spellEnd"/>
    </w:p>
    <w:p w:rsidR="00CD7111" w:rsidRDefault="00CD7111" w:rsidP="00CD7111">
      <w:pPr>
        <w:pStyle w:val="22"/>
        <w:tabs>
          <w:tab w:val="left" w:pos="567"/>
        </w:tabs>
        <w:ind w:left="0" w:firstLine="0"/>
      </w:pPr>
      <w:r>
        <w:t>муниципального района</w:t>
      </w:r>
    </w:p>
    <w:p w:rsidR="00C634EB" w:rsidRDefault="00C634EB"/>
    <w:sectPr w:rsidR="00C634EB" w:rsidSect="00CB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63C07BCE"/>
    <w:multiLevelType w:val="hybridMultilevel"/>
    <w:tmpl w:val="A2C60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8A"/>
    <w:rsid w:val="00394C8A"/>
    <w:rsid w:val="00C634EB"/>
    <w:rsid w:val="00CB7BCD"/>
    <w:rsid w:val="00CD7111"/>
    <w:rsid w:val="00E9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111"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D7111"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D7111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D7111"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CD7111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CD7111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D711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7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D71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711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CD711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CD7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D7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D7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D711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D7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semiHidden/>
    <w:locked/>
    <w:rsid w:val="00CD7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7"/>
    <w:semiHidden/>
    <w:unhideWhenUsed/>
    <w:rsid w:val="00CD7111"/>
    <w:pPr>
      <w:ind w:firstLine="567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CD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???????? ????? ? ???????? 3"/>
    <w:basedOn w:val="a"/>
    <w:rsid w:val="00CD7111"/>
    <w:pPr>
      <w:ind w:firstLine="851"/>
    </w:pPr>
  </w:style>
  <w:style w:type="paragraph" w:customStyle="1" w:styleId="21">
    <w:name w:val="???????? ????? 2"/>
    <w:basedOn w:val="a"/>
    <w:rsid w:val="00CD7111"/>
    <w:pPr>
      <w:jc w:val="center"/>
    </w:pPr>
    <w:rPr>
      <w:b/>
      <w:sz w:val="28"/>
    </w:rPr>
  </w:style>
  <w:style w:type="paragraph" w:customStyle="1" w:styleId="22">
    <w:name w:val="???????? ????? ? ???????? 2"/>
    <w:basedOn w:val="a"/>
    <w:rsid w:val="00CD7111"/>
    <w:pPr>
      <w:ind w:left="709" w:hanging="709"/>
      <w:jc w:val="both"/>
    </w:pPr>
    <w:rPr>
      <w:sz w:val="28"/>
    </w:rPr>
  </w:style>
  <w:style w:type="paragraph" w:customStyle="1" w:styleId="ConsPlusNormal">
    <w:name w:val="ConsPlusNormal"/>
    <w:rsid w:val="00CD7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111"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D7111"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D7111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D7111"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CD7111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CD7111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D711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7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D71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711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CD711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CD7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D7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D7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D711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D7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semiHidden/>
    <w:locked/>
    <w:rsid w:val="00CD7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7"/>
    <w:semiHidden/>
    <w:unhideWhenUsed/>
    <w:rsid w:val="00CD7111"/>
    <w:pPr>
      <w:ind w:firstLine="567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CD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???????? ????? ? ???????? 3"/>
    <w:basedOn w:val="a"/>
    <w:rsid w:val="00CD7111"/>
    <w:pPr>
      <w:ind w:firstLine="851"/>
    </w:pPr>
  </w:style>
  <w:style w:type="paragraph" w:customStyle="1" w:styleId="21">
    <w:name w:val="???????? ????? 2"/>
    <w:basedOn w:val="a"/>
    <w:rsid w:val="00CD7111"/>
    <w:pPr>
      <w:jc w:val="center"/>
    </w:pPr>
    <w:rPr>
      <w:b/>
      <w:sz w:val="28"/>
    </w:rPr>
  </w:style>
  <w:style w:type="paragraph" w:customStyle="1" w:styleId="22">
    <w:name w:val="???????? ????? ? ???????? 2"/>
    <w:basedOn w:val="a"/>
    <w:rsid w:val="00CD7111"/>
    <w:pPr>
      <w:ind w:left="709" w:hanging="709"/>
      <w:jc w:val="both"/>
    </w:pPr>
    <w:rPr>
      <w:sz w:val="28"/>
    </w:rPr>
  </w:style>
  <w:style w:type="paragraph" w:customStyle="1" w:styleId="ConsPlusNormal">
    <w:name w:val="ConsPlusNormal"/>
    <w:rsid w:val="00CD7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2874</Words>
  <Characters>16386</Characters>
  <Application>Microsoft Office Word</Application>
  <DocSecurity>0</DocSecurity>
  <Lines>136</Lines>
  <Paragraphs>38</Paragraphs>
  <ScaleCrop>false</ScaleCrop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nsamodurova</cp:lastModifiedBy>
  <cp:revision>2</cp:revision>
  <dcterms:created xsi:type="dcterms:W3CDTF">2021-10-12T06:45:00Z</dcterms:created>
  <dcterms:modified xsi:type="dcterms:W3CDTF">2021-10-12T06:45:00Z</dcterms:modified>
</cp:coreProperties>
</file>